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1E3" w:rsidRPr="00555286" w:rsidRDefault="00CD21E3" w:rsidP="00CD21E3">
      <w:pPr>
        <w:spacing w:after="0" w:line="240" w:lineRule="auto"/>
        <w:jc w:val="center"/>
        <w:rPr>
          <w:rFonts w:eastAsia="Times New Roman" w:cs="Calibri"/>
          <w:b/>
          <w:color w:val="000000"/>
          <w:sz w:val="24"/>
          <w:szCs w:val="24"/>
          <w:lang w:eastAsia="tr-TR"/>
        </w:rPr>
      </w:pPr>
      <w:r w:rsidRPr="00555286">
        <w:rPr>
          <w:rFonts w:eastAsia="Times New Roman" w:cs="Calibri"/>
          <w:b/>
          <w:color w:val="000000"/>
          <w:sz w:val="24"/>
          <w:szCs w:val="24"/>
          <w:lang w:eastAsia="tr-TR"/>
        </w:rPr>
        <w:t>FIRAT ÜNİVERSİTESİ DİŞ HEKİMLİĞİ FAKÜLTESİ</w:t>
      </w:r>
    </w:p>
    <w:p w:rsidR="00CD21E3" w:rsidRPr="00555286" w:rsidRDefault="00CD21E3" w:rsidP="00CD21E3">
      <w:pPr>
        <w:spacing w:after="0" w:line="240" w:lineRule="auto"/>
        <w:jc w:val="center"/>
        <w:rPr>
          <w:rFonts w:eastAsia="Times New Roman" w:cs="Calibri"/>
          <w:b/>
          <w:color w:val="000000"/>
          <w:sz w:val="24"/>
          <w:szCs w:val="24"/>
          <w:lang w:eastAsia="tr-TR"/>
        </w:rPr>
      </w:pPr>
      <w:r w:rsidRPr="00555286">
        <w:rPr>
          <w:rFonts w:eastAsia="Times New Roman" w:cs="Calibri"/>
          <w:b/>
          <w:color w:val="000000"/>
          <w:sz w:val="24"/>
          <w:szCs w:val="24"/>
          <w:lang w:eastAsia="tr-TR"/>
        </w:rPr>
        <w:t>DİŞHEKİMLİĞİ UZMANLIK EĞİTİMİ YÖNERGESİ</w:t>
      </w:r>
    </w:p>
    <w:p w:rsidR="00CD21E3" w:rsidRPr="00555286" w:rsidRDefault="00CD21E3" w:rsidP="00CD21E3">
      <w:pPr>
        <w:spacing w:after="0" w:line="480" w:lineRule="auto"/>
        <w:jc w:val="both"/>
        <w:rPr>
          <w:rFonts w:eastAsia="Times New Roman" w:cs="Calibri"/>
          <w:color w:val="000000"/>
          <w:sz w:val="24"/>
          <w:szCs w:val="24"/>
          <w:lang w:eastAsia="tr-TR"/>
        </w:rPr>
      </w:pPr>
    </w:p>
    <w:p w:rsidR="00CD21E3" w:rsidRPr="00555286" w:rsidRDefault="00CD21E3" w:rsidP="00CD21E3">
      <w:pPr>
        <w:spacing w:after="0" w:line="480" w:lineRule="auto"/>
        <w:ind w:firstLine="708"/>
        <w:jc w:val="both"/>
        <w:rPr>
          <w:rFonts w:eastAsia="Times New Roman" w:cs="Calibri"/>
          <w:b/>
          <w:color w:val="000000"/>
          <w:sz w:val="24"/>
          <w:szCs w:val="24"/>
          <w:lang w:eastAsia="tr-TR"/>
        </w:rPr>
      </w:pPr>
      <w:r w:rsidRPr="00555286">
        <w:rPr>
          <w:rFonts w:eastAsia="Times New Roman" w:cs="Calibri"/>
          <w:b/>
          <w:color w:val="000000"/>
          <w:sz w:val="24"/>
          <w:szCs w:val="24"/>
          <w:lang w:eastAsia="tr-TR"/>
        </w:rPr>
        <w:t xml:space="preserve">BİRİNCİ BÖLÜM </w:t>
      </w:r>
    </w:p>
    <w:p w:rsidR="00CD21E3" w:rsidRPr="00555286" w:rsidRDefault="00CD21E3" w:rsidP="00CD21E3">
      <w:pPr>
        <w:spacing w:after="0" w:line="480" w:lineRule="auto"/>
        <w:jc w:val="both"/>
        <w:rPr>
          <w:rFonts w:eastAsia="Times New Roman" w:cs="Calibri"/>
          <w:b/>
          <w:color w:val="FFFFFF"/>
          <w:sz w:val="24"/>
          <w:szCs w:val="24"/>
          <w:lang w:eastAsia="tr-TR"/>
        </w:rPr>
      </w:pPr>
      <w:r w:rsidRPr="00555286">
        <w:rPr>
          <w:rFonts w:eastAsia="Times New Roman" w:cs="Calibri"/>
          <w:b/>
          <w:color w:val="000000"/>
          <w:sz w:val="24"/>
          <w:szCs w:val="24"/>
          <w:lang w:eastAsia="tr-TR"/>
        </w:rPr>
        <w:t xml:space="preserve">Amaç, Kapsam, Dayanak ve Tanımlar </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b/>
          <w:bCs/>
          <w:color w:val="000000"/>
          <w:sz w:val="24"/>
          <w:szCs w:val="24"/>
          <w:lang w:eastAsia="tr-TR"/>
        </w:rPr>
        <w:t xml:space="preserve">Amaç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MADDE 1 - (1) Bu yönergenin amacı, Fırat Üniversitesi Diş Hekimliği Fakültesi’nde eğitim alan uzmanlık öğrencilerinin Diş Hekimliği Uzmanlık Eğitimi’nin gerektirdiği faaliyetlerin planlanması, uygulanması, izlenmesi ve geliştirilmesi ile bilimsel araştırma faaliyetlerine katılımlarının düzenlenmesini; uzmanlık eğitimi karnesi, tez yapma ve uzmanlık sınavlarının ilgili mevzuata uygun olarak yapılmasını sağlamaktır. </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b/>
          <w:bCs/>
          <w:color w:val="000000"/>
          <w:sz w:val="24"/>
          <w:szCs w:val="24"/>
          <w:lang w:eastAsia="tr-TR"/>
        </w:rPr>
        <w:t xml:space="preserve">Kapsam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MADDE 2 - (1) Bu yönerge, Fırat Üniversitesi Diş Hekimliği Fakültesi uzmanlık öğrencilerini ve eğiticilerini kapsar. </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b/>
          <w:bCs/>
          <w:color w:val="000000"/>
          <w:sz w:val="24"/>
          <w:szCs w:val="24"/>
          <w:lang w:eastAsia="tr-TR"/>
        </w:rPr>
        <w:t xml:space="preserve">Dayanak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MADDE 3 - (1) Bu yönerge, 26 Nisan 2014 tarih ve 28983 sayılı Resmi Gazete’ de yayımlanarak yürürlüğe giren “Tıpta ve Diş Hekimliğinde Uzmanlık Eğitimi Yönetmeliği” hükümleri dikkate alınarak düzenlenmiştir. </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b/>
          <w:bCs/>
          <w:color w:val="000000"/>
          <w:sz w:val="24"/>
          <w:szCs w:val="24"/>
          <w:lang w:eastAsia="tr-TR"/>
        </w:rPr>
        <w:t xml:space="preserve">Tanımlar </w:t>
      </w:r>
    </w:p>
    <w:p w:rsidR="00CD21E3" w:rsidRPr="00555286" w:rsidRDefault="00CD21E3" w:rsidP="00CD21E3">
      <w:p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 xml:space="preserve">MADDE 4 - (1) Bu yönergede geçen, </w:t>
      </w:r>
    </w:p>
    <w:p w:rsidR="00CD21E3" w:rsidRPr="00555286" w:rsidRDefault="00CD21E3" w:rsidP="00CD21E3">
      <w:pPr>
        <w:numPr>
          <w:ilvl w:val="0"/>
          <w:numId w:val="1"/>
        </w:num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Akademik Kurul: İlgili Anabilim Dalındaki Öğretim Üyelerinden oluşan Kurul’u,</w:t>
      </w:r>
    </w:p>
    <w:p w:rsidR="00CD21E3" w:rsidRPr="00555286" w:rsidRDefault="00CD21E3" w:rsidP="00CD21E3">
      <w:pPr>
        <w:numPr>
          <w:ilvl w:val="0"/>
          <w:numId w:val="1"/>
        </w:num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Çekirdek eğitim müfredatı: Uzmanlık eğitimi yapılabilmesi için bir programın uygulaması gereken asgari eğitim ve öğretimi,</w:t>
      </w:r>
    </w:p>
    <w:p w:rsidR="00CD21E3" w:rsidRPr="00555286" w:rsidRDefault="00CD21E3" w:rsidP="00CD21E3">
      <w:pPr>
        <w:numPr>
          <w:ilvl w:val="0"/>
          <w:numId w:val="1"/>
        </w:num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Çizelgeler: 1219 sayılı Kanunun eki tıpta ve diş hekimliğinde uzmanlık dalları ve eğitim sürelerine dair ek-1,ek-2 ve ek-3 sayılı çizelgeleri,</w:t>
      </w:r>
    </w:p>
    <w:p w:rsidR="00CD21E3" w:rsidRPr="00555286" w:rsidRDefault="00CD21E3" w:rsidP="00CD21E3">
      <w:pPr>
        <w:numPr>
          <w:ilvl w:val="0"/>
          <w:numId w:val="1"/>
        </w:num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lastRenderedPageBreak/>
        <w:t xml:space="preserve">Dekan: Fırat Üniversitesi Diş Hekimliği Fakültesi Dekanı’nı, </w:t>
      </w:r>
    </w:p>
    <w:p w:rsidR="00CD21E3" w:rsidRPr="00555286" w:rsidRDefault="00CD21E3" w:rsidP="00CD21E3">
      <w:pPr>
        <w:numPr>
          <w:ilvl w:val="0"/>
          <w:numId w:val="1"/>
        </w:num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Dekanlık: Fırat Üniversitesi Diş Hekimliği Fakültesi Dekanlığı’nı,</w:t>
      </w:r>
    </w:p>
    <w:p w:rsidR="00CD21E3" w:rsidRPr="00555286" w:rsidRDefault="00CD21E3" w:rsidP="00CD21E3">
      <w:pPr>
        <w:numPr>
          <w:ilvl w:val="0"/>
          <w:numId w:val="1"/>
        </w:num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 xml:space="preserve">Diş Hekimliği Fakültesi: Fırat Üniversitesi Diş Hekimliği Fakültesi’ni, </w:t>
      </w:r>
    </w:p>
    <w:p w:rsidR="00CD21E3" w:rsidRPr="00555286" w:rsidRDefault="00CD21E3" w:rsidP="00CD21E3">
      <w:pPr>
        <w:numPr>
          <w:ilvl w:val="0"/>
          <w:numId w:val="1"/>
        </w:num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Eğitici: Uzmanlık eğitimi verme yetkisine sahip kişileri,</w:t>
      </w:r>
    </w:p>
    <w:p w:rsidR="00CD21E3" w:rsidRPr="00555286" w:rsidRDefault="00CD21E3" w:rsidP="00CD21E3">
      <w:pPr>
        <w:numPr>
          <w:ilvl w:val="0"/>
          <w:numId w:val="1"/>
        </w:num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Eğitim Sorumlusu: İlgili Anabilim Dalı’ndaki Akademik Kurul üyeleri arasından seçilen uzmanlık eğitimi sorumlusunu,</w:t>
      </w:r>
    </w:p>
    <w:p w:rsidR="00CD21E3" w:rsidRPr="00555286" w:rsidRDefault="00CD21E3" w:rsidP="00CD21E3">
      <w:pPr>
        <w:numPr>
          <w:ilvl w:val="0"/>
          <w:numId w:val="1"/>
        </w:num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 xml:space="preserve">Kurul: Diş Hekimliği Uzmanlık Eğitimi Komisyonunu, </w:t>
      </w:r>
    </w:p>
    <w:p w:rsidR="00CD21E3" w:rsidRPr="00555286" w:rsidRDefault="00CD21E3" w:rsidP="00CD21E3">
      <w:pPr>
        <w:numPr>
          <w:ilvl w:val="0"/>
          <w:numId w:val="1"/>
        </w:num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 xml:space="preserve">Öğrenci: Uzmanlık öğrencisini, </w:t>
      </w:r>
    </w:p>
    <w:p w:rsidR="00CD21E3" w:rsidRPr="00555286" w:rsidRDefault="00CD21E3" w:rsidP="00CD21E3">
      <w:pPr>
        <w:numPr>
          <w:ilvl w:val="0"/>
          <w:numId w:val="1"/>
        </w:num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Program yöneticisi: Anabilim Dalı Başkanı’nı,</w:t>
      </w:r>
    </w:p>
    <w:p w:rsidR="00CD21E3" w:rsidRPr="00555286" w:rsidRDefault="00CD21E3" w:rsidP="00CD21E3">
      <w:pPr>
        <w:numPr>
          <w:ilvl w:val="0"/>
          <w:numId w:val="1"/>
        </w:num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 xml:space="preserve">Rotasyon: Uzmanlık öğrencisinin uzmanlık eğitimi süresi içerisinde, kendi dalı dışında </w:t>
      </w:r>
      <w:r w:rsidRPr="00555286">
        <w:rPr>
          <w:rFonts w:cs="Calibri"/>
          <w:sz w:val="24"/>
          <w:szCs w:val="24"/>
        </w:rPr>
        <w:t>Tıpta Uzmanlık Kurulu</w:t>
      </w:r>
      <w:r w:rsidRPr="00555286">
        <w:rPr>
          <w:rFonts w:eastAsia="Times New Roman" w:cs="Calibri"/>
          <w:color w:val="000000"/>
          <w:sz w:val="24"/>
          <w:szCs w:val="24"/>
          <w:lang w:eastAsia="tr-TR"/>
        </w:rPr>
        <w:t xml:space="preserve"> tarafından belirlenen ve tamamlanması zorunlu olan eğitimi, </w:t>
      </w:r>
    </w:p>
    <w:p w:rsidR="00CD21E3" w:rsidRPr="00555286" w:rsidRDefault="00CD21E3" w:rsidP="00CD21E3">
      <w:pPr>
        <w:numPr>
          <w:ilvl w:val="0"/>
          <w:numId w:val="1"/>
        </w:num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 xml:space="preserve">UETS: Uzmanlık Eğitimi Takip Sistemini, </w:t>
      </w:r>
    </w:p>
    <w:p w:rsidR="00CD21E3" w:rsidRPr="00555286" w:rsidRDefault="00CD21E3" w:rsidP="00CD21E3">
      <w:pPr>
        <w:numPr>
          <w:ilvl w:val="0"/>
          <w:numId w:val="1"/>
        </w:num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 xml:space="preserve">Uzmanlık eğitimi: Tıp veya Diş Hekimliği’nde uzman olabilmek için gereken eğitim ve öğretimi, </w:t>
      </w:r>
    </w:p>
    <w:p w:rsidR="00CD21E3" w:rsidRPr="00555286" w:rsidRDefault="00CD21E3" w:rsidP="00CD21E3">
      <w:pPr>
        <w:numPr>
          <w:ilvl w:val="0"/>
          <w:numId w:val="1"/>
        </w:num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Üniversite: Fırat Üniversitesi’ni</w:t>
      </w:r>
    </w:p>
    <w:p w:rsidR="00CD21E3" w:rsidRPr="00555286" w:rsidRDefault="00CD21E3" w:rsidP="00CD21E3">
      <w:p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ifade eder.</w:t>
      </w:r>
    </w:p>
    <w:p w:rsidR="00CD21E3" w:rsidRPr="00555286" w:rsidRDefault="00CD21E3" w:rsidP="00CD21E3">
      <w:pPr>
        <w:spacing w:after="0" w:line="480" w:lineRule="auto"/>
        <w:jc w:val="both"/>
        <w:rPr>
          <w:rFonts w:eastAsia="Times New Roman" w:cs="Calibri"/>
          <w:color w:val="000000"/>
          <w:sz w:val="24"/>
          <w:szCs w:val="24"/>
          <w:lang w:eastAsia="tr-TR"/>
        </w:rPr>
      </w:pPr>
    </w:p>
    <w:p w:rsidR="00CD21E3" w:rsidRDefault="00CD21E3" w:rsidP="00CD21E3">
      <w:pPr>
        <w:spacing w:after="0" w:line="480" w:lineRule="auto"/>
        <w:ind w:firstLine="708"/>
        <w:jc w:val="both"/>
        <w:rPr>
          <w:rFonts w:eastAsia="Times New Roman" w:cs="Calibri"/>
          <w:b/>
          <w:bCs/>
          <w:color w:val="000000"/>
          <w:sz w:val="24"/>
          <w:szCs w:val="24"/>
          <w:lang w:eastAsia="tr-TR"/>
        </w:rPr>
      </w:pPr>
    </w:p>
    <w:p w:rsidR="00CD21E3" w:rsidRDefault="00CD21E3" w:rsidP="00CD21E3">
      <w:pPr>
        <w:spacing w:after="0" w:line="480" w:lineRule="auto"/>
        <w:ind w:firstLine="708"/>
        <w:jc w:val="both"/>
        <w:rPr>
          <w:rFonts w:eastAsia="Times New Roman" w:cs="Calibri"/>
          <w:b/>
          <w:bCs/>
          <w:color w:val="000000"/>
          <w:sz w:val="24"/>
          <w:szCs w:val="24"/>
          <w:lang w:eastAsia="tr-TR"/>
        </w:rPr>
      </w:pPr>
    </w:p>
    <w:p w:rsidR="00CD21E3" w:rsidRDefault="00CD21E3" w:rsidP="00CD21E3">
      <w:pPr>
        <w:spacing w:after="0" w:line="480" w:lineRule="auto"/>
        <w:ind w:firstLine="708"/>
        <w:jc w:val="both"/>
        <w:rPr>
          <w:rFonts w:eastAsia="Times New Roman" w:cs="Calibri"/>
          <w:b/>
          <w:bCs/>
          <w:color w:val="000000"/>
          <w:sz w:val="24"/>
          <w:szCs w:val="24"/>
          <w:lang w:eastAsia="tr-TR"/>
        </w:rPr>
      </w:pPr>
    </w:p>
    <w:p w:rsidR="00CD21E3" w:rsidRDefault="00CD21E3" w:rsidP="00CD21E3">
      <w:pPr>
        <w:spacing w:after="0" w:line="480" w:lineRule="auto"/>
        <w:ind w:firstLine="708"/>
        <w:jc w:val="both"/>
        <w:rPr>
          <w:rFonts w:eastAsia="Times New Roman" w:cs="Calibri"/>
          <w:b/>
          <w:bCs/>
          <w:color w:val="000000"/>
          <w:sz w:val="24"/>
          <w:szCs w:val="24"/>
          <w:lang w:eastAsia="tr-TR"/>
        </w:rPr>
      </w:pP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b/>
          <w:bCs/>
          <w:color w:val="000000"/>
          <w:sz w:val="24"/>
          <w:szCs w:val="24"/>
          <w:lang w:eastAsia="tr-TR"/>
        </w:rPr>
        <w:t xml:space="preserve">İKİNCİ BÖLÜM </w:t>
      </w:r>
    </w:p>
    <w:p w:rsidR="00CD21E3" w:rsidRPr="00555286" w:rsidRDefault="00CD21E3" w:rsidP="00CD21E3">
      <w:pPr>
        <w:spacing w:after="0" w:line="480" w:lineRule="auto"/>
        <w:jc w:val="both"/>
        <w:rPr>
          <w:rFonts w:eastAsia="Times New Roman" w:cs="Calibri"/>
          <w:b/>
          <w:color w:val="000000"/>
          <w:sz w:val="24"/>
          <w:szCs w:val="24"/>
          <w:lang w:eastAsia="tr-TR"/>
        </w:rPr>
      </w:pPr>
      <w:r w:rsidRPr="00555286">
        <w:rPr>
          <w:rFonts w:eastAsia="Times New Roman" w:cs="Calibri"/>
          <w:b/>
          <w:color w:val="000000"/>
          <w:sz w:val="24"/>
          <w:szCs w:val="24"/>
          <w:lang w:eastAsia="tr-TR"/>
        </w:rPr>
        <w:t xml:space="preserve">Diş Hekimliği Uzmanlık Eğitimi Kurulu’nun Kuruluş ve Görevleri </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b/>
          <w:bCs/>
          <w:color w:val="000000"/>
          <w:sz w:val="24"/>
          <w:szCs w:val="24"/>
          <w:lang w:eastAsia="tr-TR"/>
        </w:rPr>
        <w:t xml:space="preserve">Kuruluş </w:t>
      </w:r>
    </w:p>
    <w:p w:rsidR="00CD21E3" w:rsidRPr="00555286" w:rsidRDefault="00CD21E3" w:rsidP="00CD21E3">
      <w:p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lastRenderedPageBreak/>
        <w:t xml:space="preserve">MADDE 5 - (1) Diş Hekimliği Uzmanlık Eğitiminin amaçlarını ve bunun gerçekleşmesi için yapılacak faaliyetlerin düzenlenmesini sağlamak amacıyla kurul oluşturulur. </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b/>
          <w:bCs/>
          <w:color w:val="000000"/>
          <w:sz w:val="24"/>
          <w:szCs w:val="24"/>
          <w:lang w:eastAsia="tr-TR"/>
        </w:rPr>
        <w:t>Kurul</w:t>
      </w:r>
      <w:r w:rsidRPr="00555286">
        <w:rPr>
          <w:rFonts w:eastAsia="Times New Roman" w:cs="Calibri"/>
          <w:color w:val="000000"/>
          <w:sz w:val="24"/>
          <w:szCs w:val="24"/>
          <w:lang w:eastAsia="tr-TR"/>
        </w:rPr>
        <w:t xml:space="preserve">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MADDE 6 - (1) Kurul aşağıda belirtilen üyelerden oluşur.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a) Dekan,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b) Dekan’ın atayacağı Dekan Yardımcısı ya da Eğitimden sorumlu Dekan Yardımcısı.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c) Anabilim Dalı tarafından 2 yıllığına atanan, her Anabilim Dalından uzmanlık belgesine sahip 1 Profesör veya 1 Doçent veya en az 1 yıllık uzmanlık belgesine sahip 1 Dr. Öğretim Üyesinden oluşur. </w:t>
      </w:r>
    </w:p>
    <w:p w:rsidR="00CD21E3" w:rsidRPr="00555286" w:rsidRDefault="00CD21E3" w:rsidP="00CD21E3">
      <w:p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 xml:space="preserve">(2) Kurulun Başkanı Dekan, Dekan’ın bulunmadığı durumlarda Dekan Yardımcısı’dır.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(3) Kurul yılda en az iki kez toplanır (Güz ve Bahar dönemi).</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(4) Kurulun sekretarya görevini Fakülte Sekreteri yürütür. </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b/>
          <w:bCs/>
          <w:color w:val="000000"/>
          <w:sz w:val="24"/>
          <w:szCs w:val="24"/>
          <w:lang w:eastAsia="tr-TR"/>
        </w:rPr>
        <w:t xml:space="preserve">Kurul’un Görevleri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MADDE 7 - (1) Kurulun görevleri şunlardır: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a) Fakültenin Diş Hekimliğinde uzmanlık eğitimi hedeflerini belirlemek,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b) Bu hedeflere ulaşabilmek için Anabilim Dalları’nın teorik ders, uygulama, beceri kursu, araştırma faaliyetleri ile yıllık olarak güncellenen genişletilmiş eğitim müfredatını belirlemek, </w:t>
      </w:r>
    </w:p>
    <w:p w:rsidR="00CD21E3" w:rsidRPr="00555286" w:rsidRDefault="00CD21E3" w:rsidP="00CD21E3">
      <w:p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 xml:space="preserve">c) Birimlerin (Anabilim Dalları’nın) rehber eğitim sorumlularını listelemek, </w:t>
      </w:r>
    </w:p>
    <w:p w:rsidR="00CD21E3" w:rsidRPr="00555286" w:rsidRDefault="00CD21E3" w:rsidP="00CD21E3">
      <w:p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 xml:space="preserve">ç) Program yöneticisi tarafından her uzmanlık öğrencisi için doldurulacak ‘’Program Yöneticisi Kanaat Formu (Ek-1)’ nun 6 ayda bir doldurulup (Güz ve Bahar dönemi) </w:t>
      </w:r>
      <w:r w:rsidRPr="00555286">
        <w:rPr>
          <w:rFonts w:cs="Calibri"/>
          <w:sz w:val="24"/>
          <w:szCs w:val="24"/>
        </w:rPr>
        <w:t xml:space="preserve">UETS’ye kaydedilerek </w:t>
      </w:r>
      <w:r w:rsidRPr="00555286">
        <w:rPr>
          <w:rFonts w:eastAsia="Times New Roman" w:cs="Calibri"/>
          <w:color w:val="000000"/>
          <w:sz w:val="24"/>
          <w:szCs w:val="24"/>
          <w:lang w:eastAsia="tr-TR"/>
        </w:rPr>
        <w:t>Dekanlığa iletilmesini sağlamak,</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d) Anabilim Dalları’nın uzmanlık öğrencisi kanaat değerlendirme formu ve uzmanlık eğitim karnesinin şekli, kapsamı, kullanılması ve ilgili diğer hususların neler olacağını belirlemek,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lastRenderedPageBreak/>
        <w:t xml:space="preserve">e) Uzmanlık eğitiminde eğitim hedefleri ve müfredatı ile uzmanlık eğitim karnelerinin oluşturulması ve kullanılması faaliyetlerini izlemek, geliştirmek ve denetlemek,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f) Uzmanlık eğitim karnelerinin doldurulması ve uzmanlık öğrencisinin eksik kalan eğitiminin belirlenmesi için yılda en az 2 kez her Anabilim Dalı Başkanı ya da Kurul üyesi ile değerlendirme toplantısı yapmak,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g) Anabilim Dalları’nın uzmanlık eğitim sorumlularının her 6 ayda bir Dekanlığa bildirdikleri uzmanlık öğrencilerinin mesleki bilgileri, mesleki uygulama, göreve bağlılık, çalışma, araştırma, yönetme yetenekleri ile meslek ahlakı hakkındaki görüş ve kanaatlerini içeren raporları incelemek ve mevzuata göre işlem yapmak,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ğ) Uzmanlık tezlerinin nitelikleri ve yazım kriterleri konusunda kurallar geliştirmek ve uygulanmasını denetlemek,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h) Göreve yeni başlayan uzmanlık öğrencilerine, kuruma adaptasyon için kurumu tanıtıcı bilgiler vermek, kanuni sorumluluklar, mesleki gelişim, iletişim ve deontoloji ile ilgili uyum programları düzenlemek.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ı) Nöbet, çalışma ve eğitim odaları gibi uzmanlık eğitimi alan kişinin eğitsel ve sosyal gereksinimlerini karşılayan alt yapının kurulması için Dekanlığa öneriler sunmak,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i) Uzmanlık öğrencilerinin bilimsel araştırma faaliyetlerine katılmasını teşvik edecek yöntemler geliştirmek,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j) Uzmanlık eğitimi konusunda Fakülte’nin ulusal ve uluslararası akreditasyon işlemlerini planlamak, yapmak ve izlemek, bunun için gerekirse Kurul’a bağlı alt komisyonlar kurmak,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k) Akreditasyon çalışması yapacak Anabilim Dalları’na destek olmak,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l) Uzmanlık eğitimi ile ilgili her konuda Dekanlığa danışmanlık yapmaktır. </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b/>
          <w:bCs/>
          <w:color w:val="000000"/>
          <w:sz w:val="24"/>
          <w:szCs w:val="24"/>
          <w:lang w:eastAsia="tr-TR"/>
        </w:rPr>
        <w:t xml:space="preserve">Kurul’un Çalışma Şekli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lastRenderedPageBreak/>
        <w:t xml:space="preserve">MADDE 8 - (1) Kurul, başkan veya vekilinin gündemli çağrısı üzerine salt çoğunlukla toplanır. Kararlar salt çoğunlukta alınır ve karar defterine yazılır. Oyların eşitliği halinde başkanın bulunduğu taraf çoğunluğu sağlamış sayılır.  Alınan kararlar toplantıya katılan tüm üyeler tarafından imzalanır. Karara katılmayan üye karşı oy gerekçesini karar defterine yazmak zorundadır. Kurulların alacağı kararlar tavsiye niteliğindedir. </w:t>
      </w:r>
    </w:p>
    <w:p w:rsidR="00CD21E3" w:rsidRPr="00555286" w:rsidRDefault="00CD21E3" w:rsidP="00CD21E3">
      <w:pPr>
        <w:spacing w:after="0" w:line="480" w:lineRule="auto"/>
        <w:ind w:firstLine="708"/>
        <w:jc w:val="both"/>
        <w:rPr>
          <w:rFonts w:eastAsia="Times New Roman" w:cs="Calibri"/>
          <w:b/>
          <w:color w:val="000000"/>
          <w:sz w:val="24"/>
          <w:szCs w:val="24"/>
          <w:lang w:eastAsia="tr-TR"/>
        </w:rPr>
      </w:pPr>
      <w:r w:rsidRPr="00555286">
        <w:rPr>
          <w:rFonts w:eastAsia="Times New Roman" w:cs="Calibri"/>
          <w:b/>
          <w:color w:val="000000"/>
          <w:sz w:val="24"/>
          <w:szCs w:val="24"/>
          <w:lang w:eastAsia="tr-TR"/>
        </w:rPr>
        <w:t>Uzmanlık Dersleri</w:t>
      </w:r>
    </w:p>
    <w:p w:rsidR="00CD21E3" w:rsidRPr="00555286" w:rsidRDefault="00CD21E3" w:rsidP="00CD21E3">
      <w:p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 xml:space="preserve">MADDE 9 </w:t>
      </w:r>
      <w:r w:rsidRPr="00555286">
        <w:rPr>
          <w:rFonts w:eastAsia="Times New Roman" w:cs="Calibri"/>
          <w:color w:val="000000"/>
          <w:sz w:val="24"/>
          <w:szCs w:val="24"/>
          <w:lang w:eastAsia="tr-TR"/>
        </w:rPr>
        <w:softHyphen/>
        <w:t xml:space="preserve">- (1) Anabilim Dalları Akademik Kurulları, Tıpta Uzmanlık Kurulu tarafından ilan edilen Çekirdek Eğitim Müfredatı kapsamında oluşturdukları müfredatlarını uzmanlık eğitiminde uygularlar. </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b/>
          <w:bCs/>
          <w:color w:val="000000"/>
          <w:sz w:val="24"/>
          <w:szCs w:val="24"/>
          <w:lang w:eastAsia="tr-TR"/>
        </w:rPr>
        <w:t>Uzmanlık Tezi</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MADDE 10 - (1) Uzmanlık öğrencilerinin, uzmanlık sınavına girebilmeleri için uzmanlık eğitimi gördükleri dala ait bir konu üzerinde tez hazırlamaları zorunludur.</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Anabilim Dalı Akademik Kurulu; her öğrenci için öğrencinin bilimsel faaliyetlerini, çalışmak istediği alanı ve danışman tercihini de dikkate alarak, “Tez Danışmanı Öneri Formunu (Ek-2)” doldurarak tez danışmanını Kurul’a bildirir. Tez danışmanı önerisi Kurul kararıyla kesinleşir. Tez danışmanı en geç eğitim süresinin ilk 3 ayı içinde belirlenir. Her Anabilim Dalı’ndaki, her Öğretim Üyesi’nin en az 1 uzmanlık öğrencisi danışmanlığı olmalıdır. Tez çalışmasının niteliğinin birden fazla tez danışmanını gerektirdiği durumlarda ikinci tez danışmanı ‘’İkinci Tez Danışmanı Öneri Formu (Ek-3)’’ doldurularak, birinci tez danışmanının talebi üzerine atanabilir.  Danışman atanmasında, bir danışmana düşecek lisansüstü öğrenci sayısı Anabilim Dalı’nın özelliği dikkate alınarak Akademik Kurul tarafından belirlenir. Tez danışmanı değişikliği Anabilim Dalı Akademik Kurulu kararı ve ‘’Tez Danışmanı Değişiklik Bildirimi Formu (Ek-4)’’ ile Dekanlığa iletilir.  </w:t>
      </w:r>
    </w:p>
    <w:p w:rsidR="00CD21E3" w:rsidRPr="00555286" w:rsidRDefault="00CD21E3" w:rsidP="00CD21E3">
      <w:pPr>
        <w:spacing w:after="0" w:line="480" w:lineRule="auto"/>
        <w:ind w:firstLine="708"/>
        <w:jc w:val="both"/>
        <w:rPr>
          <w:rFonts w:eastAsia="Times New Roman" w:cs="Calibri"/>
          <w:color w:val="000000"/>
          <w:sz w:val="24"/>
          <w:szCs w:val="24"/>
          <w:lang w:eastAsia="tr-TR" w:bidi="tr-TR"/>
        </w:rPr>
      </w:pPr>
      <w:r w:rsidRPr="00555286">
        <w:rPr>
          <w:rFonts w:eastAsia="Times New Roman" w:cs="Calibri"/>
          <w:color w:val="000000"/>
          <w:sz w:val="24"/>
          <w:szCs w:val="24"/>
          <w:lang w:eastAsia="tr-TR"/>
        </w:rPr>
        <w:lastRenderedPageBreak/>
        <w:t>Anabilim Dalı Akademik Kurulları tez danışmanı tarafından belirlenen tez konusunu ilk 1 yıl içerisinde veya en geç uzmanlık eğitimi süresinin ilk yarısı içinde uzmanlık öğrencisine ‘’Tez Konusu Bildirim Formu (Ek-5)’’ ile yazılı olarak bildirilir.</w:t>
      </w:r>
      <w:r w:rsidRPr="00555286">
        <w:rPr>
          <w:rFonts w:eastAsia="Arial" w:cs="Calibri"/>
          <w:color w:val="000000"/>
          <w:sz w:val="24"/>
          <w:szCs w:val="24"/>
          <w:lang w:eastAsia="tr-TR" w:bidi="tr-TR"/>
        </w:rPr>
        <w:t xml:space="preserve"> </w:t>
      </w:r>
      <w:r w:rsidRPr="00555286">
        <w:rPr>
          <w:rFonts w:eastAsia="Times New Roman" w:cs="Calibri"/>
          <w:color w:val="000000"/>
          <w:sz w:val="24"/>
          <w:szCs w:val="24"/>
          <w:lang w:eastAsia="tr-TR" w:bidi="tr-TR"/>
        </w:rPr>
        <w:t>Uzmanlık tezinin konusunun gerektirmesi durumunda, teze başlanmadan önce mutlaka etik kurul oluru alınır ve tezde belirtilir.</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color w:val="000000"/>
          <w:sz w:val="24"/>
          <w:szCs w:val="24"/>
          <w:lang w:eastAsia="tr-TR"/>
        </w:rPr>
        <w:t>Tez izleme komitesi Anabilim Dalı Akademik Kurulları tarafından belirlenir. Tez izleme komitesi üç öğretim üyesinden oluşur. Komitede tez danışmanından başka ilgili Anabilim Dalı içinden ve dışından birer üye yer alır. Üyelerin belirlenmesinde, özellikle disiplinler arası nitelikteki tez çalışmalarında ilgili disiplinin öğretim üyelerinin yer almasına dikkat edilir. Eğer varsa ikinci tez danışmanı da komite toplantılarına dinleyici olarak katılabilir, ancak tez izleme komitesinde yer alamaz. Tez izleme komitesinin kurulmasından sonraki dönemlerde, ilgili Anabilim Dalı Akademik Kurulu’nun önerisi ile üyelerde değişiklik yapılabilir.</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b/>
          <w:bCs/>
          <w:color w:val="000000"/>
          <w:sz w:val="24"/>
          <w:szCs w:val="24"/>
          <w:lang w:eastAsia="tr-TR"/>
        </w:rPr>
        <w:t>Uzmanlık Tezinin Takibi</w:t>
      </w:r>
    </w:p>
    <w:p w:rsidR="00CD21E3" w:rsidRPr="00555286" w:rsidRDefault="00CD21E3" w:rsidP="00CD21E3">
      <w:p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MADDE 10 - (2)</w:t>
      </w:r>
      <w:r w:rsidRPr="00555286">
        <w:rPr>
          <w:rFonts w:eastAsia="Times New Roman" w:cs="Calibri"/>
          <w:color w:val="FFFFFF"/>
          <w:sz w:val="24"/>
          <w:szCs w:val="24"/>
          <w:lang w:eastAsia="tr-TR"/>
        </w:rPr>
        <w:t>(</w:t>
      </w:r>
      <w:r w:rsidRPr="00555286">
        <w:rPr>
          <w:rFonts w:eastAsia="Times New Roman" w:cs="Calibri"/>
          <w:color w:val="000000"/>
          <w:sz w:val="24"/>
          <w:szCs w:val="24"/>
          <w:lang w:eastAsia="tr-TR"/>
        </w:rPr>
        <w:t xml:space="preserve">Tez önerisi kabul edilen öğrenci için tez izleme komitesi, Ocak-Haziran ve Temmuz-Aralık ayları arasında birer kere olmak üzere yılda en az 2 kez toplanır. Öğrenci, toplantı tarihinden en az 1 ay önce komite üyelerine yazılı bir rapor sunar. Bu raporda o ana kadar yapılan çalışmaların özeti ve bir sonraki dönemde yapılacak çalışma planı belirtilir. ‘’Tez Gelişme Raporu (Ek-6)’’ ile Anabilim Dalı program yöneticisine bildirilir. </w:t>
      </w:r>
    </w:p>
    <w:p w:rsidR="00CD21E3" w:rsidRPr="00555286" w:rsidRDefault="00CD21E3" w:rsidP="00CD21E3">
      <w:pPr>
        <w:spacing w:after="0" w:line="480" w:lineRule="auto"/>
        <w:ind w:firstLine="708"/>
        <w:jc w:val="both"/>
        <w:rPr>
          <w:rFonts w:eastAsia="Times New Roman" w:cs="Calibri"/>
          <w:color w:val="000000"/>
          <w:sz w:val="24"/>
          <w:szCs w:val="24"/>
          <w:lang w:eastAsia="tr-TR"/>
        </w:rPr>
      </w:pPr>
      <w:r w:rsidRPr="00555286">
        <w:rPr>
          <w:rFonts w:eastAsia="Times New Roman" w:cs="Calibri"/>
          <w:color w:val="000000"/>
          <w:sz w:val="24"/>
          <w:szCs w:val="24"/>
          <w:lang w:eastAsia="tr-TR"/>
        </w:rPr>
        <w:t xml:space="preserve">Öğrencinin tez çalışması aynı zamanda, tez danışmanı tarafından en fazla 3 ayda bir değerlendirilir ve UETS’de ilgili kısma işlenir. </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b/>
          <w:bCs/>
          <w:color w:val="000000"/>
          <w:sz w:val="24"/>
          <w:szCs w:val="24"/>
          <w:lang w:eastAsia="tr-TR"/>
        </w:rPr>
        <w:t>Uzmanlık Tezinin Sonuçlandırılması</w:t>
      </w:r>
    </w:p>
    <w:p w:rsidR="00CD21E3" w:rsidRPr="00555286" w:rsidRDefault="00CD21E3" w:rsidP="00CD21E3">
      <w:p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lastRenderedPageBreak/>
        <w:t>MADDE 10 - (3) Uzmanlık programındaki bir öğrenci, tezini Kurul tarafından belirlenen tez yazım kurallarına (Fırat Üniversitesi Sağlık Bilimleri Enstitüsü Tez Yazım Kuralları) uygun biçimde yazmak ve tezini jüri önünde sözlü olarak savunmak zorundadır.</w:t>
      </w:r>
    </w:p>
    <w:p w:rsidR="00CD21E3" w:rsidRPr="00555286" w:rsidRDefault="00CD21E3" w:rsidP="00CD21E3">
      <w:pPr>
        <w:spacing w:line="360" w:lineRule="auto"/>
        <w:ind w:firstLine="708"/>
        <w:jc w:val="both"/>
        <w:rPr>
          <w:rFonts w:cs="Calibri"/>
          <w:sz w:val="24"/>
          <w:szCs w:val="24"/>
        </w:rPr>
      </w:pPr>
      <w:r w:rsidRPr="00555286">
        <w:rPr>
          <w:rFonts w:cs="Calibri"/>
          <w:sz w:val="24"/>
          <w:szCs w:val="24"/>
        </w:rPr>
        <w:t>Tez en geç uzmanlık eğitimi süresinin bitiminden üç ay öncesinde ve % 25 oranının üzerinde intihal olmadığını kanıtlayan belgenin “İntihal Beyan Formu (Ek-7)” ‘na eklenmesi suretiyle uzmanlık tez jürisine sunulmak üzere program yöneticisine teslim edilir.</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color w:val="000000"/>
          <w:sz w:val="24"/>
          <w:szCs w:val="24"/>
          <w:lang w:eastAsia="tr-TR"/>
        </w:rPr>
        <w:t>Uzmanlık tez jürisi, “Tez Sınavı Jüri Öneri Formu (Ek-8)” ile ilgili Anabilim Dalı Akademik Kurulu’nun önerisi ve Dekanlığın onayı ile atanır. Jüri, asıl üyelerinden en az biri kurum dışından belirlenen ve en az 3 asıl, 2 yedek üyeden oluşur. Anabilim Dalı’nda yeterli sayıda Öğretim Üyesi bulunmaması halinde öğrencinin rotasyon yaptığı dallar veya  Anabilim Dalı Akademik Kurulu’nun uygun göreceği dallardaki öğretim üyelerinden tamamlanır.</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color w:val="000000"/>
          <w:sz w:val="24"/>
          <w:szCs w:val="24"/>
          <w:lang w:eastAsia="tr-TR"/>
        </w:rPr>
        <w:t>Jüri üyeleri, söz konusu tezin kendilerine teslim edildiği tarihten itibaren en geç 30 gün içinde kişisel raporlarını hazırlayarak toplanır ve öğrenciyi tez sınavına alır. Tez sınavı, tez çalışmasının sözlü olarak sunulması ve bunu izleyen soru-cevap bölümünden oluşur. Süresi 60-120 dakikadır. Tez sınavı dinleyicilere açık olarak yapılır.</w:t>
      </w:r>
    </w:p>
    <w:p w:rsidR="00CD21E3" w:rsidRPr="00555286" w:rsidRDefault="00CD21E3" w:rsidP="00CD21E3">
      <w:pPr>
        <w:spacing w:after="0" w:line="480" w:lineRule="auto"/>
        <w:ind w:firstLine="708"/>
        <w:jc w:val="both"/>
        <w:rPr>
          <w:rFonts w:eastAsia="Times New Roman" w:cs="Calibri"/>
          <w:color w:val="000000"/>
          <w:sz w:val="24"/>
          <w:szCs w:val="24"/>
          <w:lang w:eastAsia="tr-TR"/>
        </w:rPr>
      </w:pPr>
      <w:r w:rsidRPr="00555286">
        <w:rPr>
          <w:rFonts w:eastAsia="Times New Roman" w:cs="Calibri"/>
          <w:color w:val="000000"/>
          <w:sz w:val="24"/>
          <w:szCs w:val="24"/>
          <w:lang w:eastAsia="tr-TR"/>
        </w:rPr>
        <w:t xml:space="preserve">Tez sınavının tamamlanmasından sonra jüri, dinleyicilere kapalı olarak, tez hakkında salt çoğunlukla yazılı ve gerekçeli olarak kararını verir. Bu karar, Anabilim Dalı Başkanlığı’nca tez sınavını izleyen üç gün içinde “Tez Sınavı Değerlendirme Formu (Ek-9)”, “Tez Sınavı Tutanak Formu (Ek-10)” ‘’Tez Onay Sayfası Formu (Ek-11)’’ ile Kurul’a bildirilir. Jüri tez çalışmasını yeterli bulmazsa eksikliklerin tamamlanması ve gerekli düzeltmelerin yapılması için uzmanlık öğrencisine 6 aylık ek süre verir. Bu sürenin uzmanlık eğitimini aşan kısmı uzmanlık eğitimi süresine eklenir. Tezi hakkında düzeltme kararı verilen öğrenci, en geç altı ay içinde gereğini yaparak tezini mümkünse aynı jüri önünde yeniden savunur. </w:t>
      </w:r>
    </w:p>
    <w:p w:rsidR="00CD21E3" w:rsidRPr="00555286" w:rsidRDefault="00CD21E3" w:rsidP="00CD21E3">
      <w:pPr>
        <w:spacing w:after="0" w:line="480" w:lineRule="auto"/>
        <w:ind w:firstLine="708"/>
        <w:jc w:val="both"/>
        <w:rPr>
          <w:rFonts w:eastAsia="Times New Roman" w:cs="Calibri"/>
          <w:color w:val="000000"/>
          <w:sz w:val="24"/>
          <w:szCs w:val="24"/>
          <w:lang w:eastAsia="tr-TR"/>
        </w:rPr>
      </w:pPr>
      <w:r w:rsidRPr="00555286">
        <w:rPr>
          <w:rFonts w:eastAsia="Times New Roman" w:cs="Calibri"/>
          <w:color w:val="000000"/>
          <w:sz w:val="24"/>
          <w:szCs w:val="24"/>
          <w:lang w:eastAsia="tr-TR"/>
        </w:rPr>
        <w:lastRenderedPageBreak/>
        <w:t>Tezin ikinci defa kabul edilmemesi halinde, uzmanlık öğrencisinin uzmanlık öğrenciliği ile ilişiği kesilir. İlişiği kesilen uzmanlık öğrencisi 2 yıl içinde uzman adayı olarak aynı kurumda tezini ya da uygun görülen yeni bir tezi tamamlayabilir. Bu süre içinde tezini sunmayan veya tezi kabul edilmeyen uzman adayının uzmanlık eğitimi ile ilişiği kesilir.</w:t>
      </w:r>
    </w:p>
    <w:p w:rsidR="00CD21E3" w:rsidRPr="00555286" w:rsidRDefault="00CD21E3" w:rsidP="00CD21E3">
      <w:pPr>
        <w:spacing w:after="0" w:line="480" w:lineRule="auto"/>
        <w:ind w:firstLine="708"/>
        <w:jc w:val="both"/>
        <w:rPr>
          <w:rFonts w:eastAsia="Times New Roman" w:cs="Calibri"/>
          <w:color w:val="000000"/>
          <w:sz w:val="24"/>
          <w:szCs w:val="24"/>
          <w:lang w:eastAsia="tr-TR"/>
        </w:rPr>
      </w:pPr>
      <w:r w:rsidRPr="00555286">
        <w:rPr>
          <w:rFonts w:eastAsia="Times New Roman" w:cs="Calibri"/>
          <w:color w:val="000000"/>
          <w:sz w:val="24"/>
          <w:szCs w:val="24"/>
          <w:lang w:eastAsia="tr-TR"/>
        </w:rPr>
        <w:t>Tezi kabul edilen uzmanlık öğrencisi, ciltli olarak basılmış en az 4 adet tez nüshasını (1 adet program yöneticisi, 1 adet personel işleri, 1 adet danışman, 1 adet üniversite kütüphanesine teslim edilmek üzere), “Tez Teslim Formu (Ek-12)” ‘nu doldurarak tez danışmanı ve program yöneticisi aracılığı ile Kurum Yöneticisi’ne teslim eder. Tez proje desteği ile yapılmış ise 1 adet ciltli olarak basılmış tez, ilgili proje birimine de teslim edilmelidir.</w:t>
      </w:r>
    </w:p>
    <w:p w:rsidR="00CD21E3" w:rsidRPr="00555286" w:rsidRDefault="00CD21E3" w:rsidP="00CD21E3">
      <w:pPr>
        <w:spacing w:after="0" w:line="480" w:lineRule="auto"/>
        <w:ind w:firstLine="708"/>
        <w:jc w:val="both"/>
        <w:rPr>
          <w:rFonts w:eastAsia="Times New Roman" w:cs="Calibri"/>
          <w:color w:val="000000"/>
          <w:sz w:val="24"/>
          <w:szCs w:val="24"/>
          <w:lang w:eastAsia="tr-TR"/>
        </w:rPr>
      </w:pPr>
      <w:r w:rsidRPr="00555286">
        <w:rPr>
          <w:rFonts w:eastAsia="Times New Roman" w:cs="Calibri"/>
          <w:color w:val="000000"/>
          <w:sz w:val="24"/>
          <w:szCs w:val="24"/>
          <w:lang w:eastAsia="tr-TR" w:bidi="tr-TR"/>
        </w:rPr>
        <w:t>Uzmanlık öğrencileri, uzmanlık eğitimi bitirme sınavına girmeden önce tez çalışmasının yayına hazırlanmış taslağını, tez danışmanına teslim etmekle yükümlüdür.</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b/>
          <w:bCs/>
          <w:color w:val="000000"/>
          <w:sz w:val="24"/>
          <w:szCs w:val="24"/>
          <w:lang w:eastAsia="tr-TR"/>
        </w:rPr>
        <w:t>Uzmanlık Eğitimini Bitirme Sınavı</w:t>
      </w:r>
    </w:p>
    <w:p w:rsidR="00CD21E3" w:rsidRPr="00555286" w:rsidRDefault="00CD21E3" w:rsidP="00CD21E3">
      <w:p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MADDE 11 - (1) Tezi kabul edilen, uzmanlık eğitimi süresini, rotasyonlarını ve en az 2 adet seminer sunumunu tamamlayan, uzmanlık eğitimi karnesinin eğitim müfredatını belirleyen kısmı ilgili program yöneticisi tarafından onaylanan uzmanlık öğrencileri, uzmanlık eğitimi bitirme sınavına girmeye hak kazanır.</w:t>
      </w:r>
    </w:p>
    <w:p w:rsidR="00CD21E3" w:rsidRPr="00555286" w:rsidRDefault="00CD21E3" w:rsidP="00CD21E3">
      <w:pPr>
        <w:spacing w:after="0" w:line="480" w:lineRule="auto"/>
        <w:ind w:firstLine="708"/>
        <w:jc w:val="both"/>
        <w:rPr>
          <w:rFonts w:eastAsia="Times New Roman" w:cs="Calibri"/>
          <w:color w:val="000000"/>
          <w:sz w:val="24"/>
          <w:szCs w:val="24"/>
          <w:lang w:eastAsia="tr-TR"/>
        </w:rPr>
      </w:pPr>
      <w:r w:rsidRPr="00555286">
        <w:rPr>
          <w:rFonts w:eastAsia="Times New Roman" w:cs="Calibri"/>
          <w:color w:val="000000"/>
          <w:sz w:val="24"/>
          <w:szCs w:val="24"/>
          <w:lang w:eastAsia="tr-TR"/>
        </w:rPr>
        <w:t xml:space="preserve">Bu öğrencilerin belgeleri tez savunmasını izleyen 15 gün içerisinde; ilgili Anabilim Dalı Akademik Kurulu’nun önerisi ile oluşturulan sınav jürisinin, sınav yerinin ve tarihinin onaylanması için Anabilim Dalı Başkanı tarafından Dekanlığa ve Kurula </w:t>
      </w:r>
      <w:r w:rsidRPr="00555286">
        <w:rPr>
          <w:rFonts w:cs="Calibri"/>
          <w:sz w:val="24"/>
          <w:szCs w:val="24"/>
        </w:rPr>
        <w:t>UETS’ye kaydedilmek suretiyle</w:t>
      </w:r>
      <w:r w:rsidRPr="00555286">
        <w:rPr>
          <w:rFonts w:eastAsia="Times New Roman" w:cs="Calibri"/>
          <w:color w:val="000000"/>
          <w:sz w:val="24"/>
          <w:szCs w:val="24"/>
          <w:lang w:eastAsia="tr-TR"/>
        </w:rPr>
        <w:t xml:space="preserve"> iletilir. Tamamlanması zorunlu rotasyon eğitimleri, süreleri tamamlandığında o rotasyon ile ulaşılması istenilen hedeflere ulaşılıp ulaşılmadığı yönünden rotasyon eğitimini veren eğiticiler tarafından UETS üzerinden değerlendirilir.</w:t>
      </w:r>
      <w:r w:rsidRPr="00555286">
        <w:rPr>
          <w:rFonts w:eastAsia="Times New Roman" w:cs="Calibri"/>
          <w:color w:val="FFFFFF"/>
          <w:sz w:val="24"/>
          <w:szCs w:val="24"/>
          <w:lang w:eastAsia="tr-TR"/>
        </w:rPr>
        <w:t xml:space="preserve"> </w:t>
      </w:r>
      <w:r w:rsidRPr="00555286">
        <w:rPr>
          <w:rFonts w:cs="Calibri"/>
          <w:sz w:val="24"/>
          <w:szCs w:val="24"/>
        </w:rPr>
        <w:t xml:space="preserve">Uzmanlık eğitimini tamamlayanlara kurum tarafından eğitim karnesinin onaylı bir örneği verilir. Karneler UETS içinde uzmanlık eğitimini tamamlayanlara ayrılan arşiv kısmında saklanmaya devam edilir. </w:t>
      </w:r>
      <w:r w:rsidRPr="00555286">
        <w:rPr>
          <w:rFonts w:eastAsia="Times New Roman" w:cs="Calibri"/>
          <w:color w:val="FFFFFF"/>
          <w:sz w:val="24"/>
          <w:szCs w:val="24"/>
          <w:lang w:eastAsia="tr-TR"/>
        </w:rPr>
        <w:t xml:space="preserve"> </w:t>
      </w:r>
      <w:r w:rsidRPr="00555286">
        <w:rPr>
          <w:rFonts w:eastAsia="Times New Roman" w:cs="Calibri"/>
          <w:color w:val="000000"/>
          <w:sz w:val="24"/>
          <w:szCs w:val="24"/>
          <w:lang w:eastAsia="tr-TR"/>
        </w:rPr>
        <w:t xml:space="preserve"> Belgelerini eksiksiz </w:t>
      </w:r>
      <w:r w:rsidRPr="00555286">
        <w:rPr>
          <w:rFonts w:eastAsia="Times New Roman" w:cs="Calibri"/>
          <w:color w:val="000000"/>
          <w:sz w:val="24"/>
          <w:szCs w:val="24"/>
          <w:lang w:eastAsia="tr-TR"/>
        </w:rPr>
        <w:lastRenderedPageBreak/>
        <w:t xml:space="preserve">tamamlayanlar düzenlenen ilk sınava alınır. </w:t>
      </w:r>
      <w:r w:rsidRPr="00555286">
        <w:rPr>
          <w:rFonts w:cs="Calibri"/>
          <w:sz w:val="24"/>
          <w:szCs w:val="24"/>
        </w:rPr>
        <w:t>Uzmanlık eğitimini bitirme sınavları UETS’de ilan edilen yer ve tarihte sınav jürilerince yapılır.</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color w:val="000000"/>
          <w:sz w:val="24"/>
          <w:szCs w:val="24"/>
          <w:lang w:eastAsia="tr-TR"/>
        </w:rPr>
        <w:t>(2) Jüriler, en az üç üyesi sınav yapılan daldan, uzmanlık dalının rotasyon alanlarının veya Akademik Kurul’un uygun gördüğü dalların öğretim üyelerinden olmak üzere 5 kişiden oluşturulur. Jürinin tamamı sınav yapılan daldan oluşturulabilir. Sınav yapılan dalda 3 eğitim sorumlusu bulunmadığı takdirde eksik olan üyeler uzmanlık dalının rotasyon alanlarının ve Akademik Kurulun uygun gördüğü dalların eğitim sorumlularından oluşturulur. Ayrıca 2 kişi yedek üye olarak seçilir. Jüri üyeleri kendi aralarından bir başkan ve kâtip üye seçer.</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color w:val="000000"/>
          <w:sz w:val="24"/>
          <w:szCs w:val="24"/>
          <w:lang w:eastAsia="tr-TR"/>
        </w:rPr>
        <w:t>(3) Uzmanlık eğitimi bitirme sınavı, aşağıda belirtilen biri mesleki bilgi, diğeri uygulama ve beceri sınavı olmak üzere 2 aşamada yapılır:</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color w:val="000000"/>
          <w:sz w:val="24"/>
          <w:szCs w:val="24"/>
          <w:lang w:eastAsia="tr-TR"/>
        </w:rPr>
        <w:t>a) Mesleki bilgi sınavında aday, jüri tarafından seçilen vakanın anamnezini alarak muayenesini yapar, teşhis ve tedavisi hakkında yorumlarını sunar. Jürinin seçtiği konular üzerinde adayın yorumları alınır. Gerektiğinde materyal verilerek uygulamalar izlenir. Mesleki bilgi sınavı tek oturum halinde yapılır. Her üye adaya sorular sormakla yükümlüdür. Sorular içerik açısından adayın uzmanlık dalındaki bilgisini değerlendirmek amacıyla ilgili dalın genel eğitim programı çerçevesinde yöneltilir.</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color w:val="000000"/>
          <w:sz w:val="24"/>
          <w:szCs w:val="24"/>
          <w:lang w:eastAsia="tr-TR"/>
        </w:rPr>
        <w:t>b) Uygulama ve beceri sınavı, uzmanlık dalının özelliğine göre teşhis ve tedavi için gerekli olan müdahaleler ve ameliyatlar, laboratuvar, görüntüleme ve teknik uygulamalar, tedavi ettiği vakaların değerlendirilmesi ve becerileri ölçmeyi amaçlar.</w:t>
      </w:r>
    </w:p>
    <w:p w:rsidR="00CD21E3" w:rsidRPr="00555286" w:rsidRDefault="00CD21E3" w:rsidP="00CD21E3">
      <w:pPr>
        <w:spacing w:after="0" w:line="480" w:lineRule="auto"/>
        <w:ind w:firstLine="708"/>
        <w:jc w:val="both"/>
        <w:rPr>
          <w:rFonts w:eastAsia="Times New Roman" w:cs="Calibri"/>
          <w:color w:val="FFFFFF"/>
          <w:sz w:val="24"/>
          <w:szCs w:val="24"/>
          <w:lang w:eastAsia="tr-TR"/>
        </w:rPr>
      </w:pPr>
      <w:r w:rsidRPr="00555286">
        <w:rPr>
          <w:rFonts w:eastAsia="Times New Roman" w:cs="Calibri"/>
          <w:color w:val="000000"/>
          <w:sz w:val="24"/>
          <w:szCs w:val="24"/>
          <w:lang w:eastAsia="tr-TR"/>
        </w:rPr>
        <w:t>(4) Her bir jüri üyesi mesleki bilgi ile uygulama ve beceri sınavında ayrı ayrı yüz üzerinden puan verir. Sorulan sorular ve alınan cevaplar kâtip üye tarafından kaydedilerek jüri üyeleri tarafından imzalanır ve sınav tutanağına eklenir.</w:t>
      </w:r>
    </w:p>
    <w:p w:rsidR="00CD21E3" w:rsidRPr="00555286" w:rsidRDefault="00CD21E3" w:rsidP="00CD21E3">
      <w:pPr>
        <w:spacing w:after="0" w:line="480" w:lineRule="auto"/>
        <w:ind w:firstLine="708"/>
        <w:jc w:val="both"/>
        <w:rPr>
          <w:rFonts w:eastAsia="Times New Roman" w:cs="Calibri"/>
          <w:color w:val="000000"/>
          <w:sz w:val="24"/>
          <w:szCs w:val="24"/>
          <w:lang w:eastAsia="tr-TR"/>
        </w:rPr>
      </w:pPr>
      <w:r w:rsidRPr="00555286">
        <w:rPr>
          <w:rFonts w:eastAsia="Times New Roman" w:cs="Calibri"/>
          <w:color w:val="000000"/>
          <w:sz w:val="24"/>
          <w:szCs w:val="24"/>
          <w:lang w:eastAsia="tr-TR"/>
        </w:rPr>
        <w:t xml:space="preserve">(5) Mesleki bilgi sınavı ile uygulama ve beceri sınavında jüri üyelerinin verdiği puanların ortalamaları alınır ve ‘’Uzmanlık Eğitimi Bitirme Sınavı Tutanağı (Ek-13)’nda belirtilerek </w:t>
      </w:r>
      <w:r w:rsidRPr="00555286">
        <w:rPr>
          <w:rFonts w:eastAsia="Times New Roman" w:cs="Calibri"/>
          <w:color w:val="000000"/>
          <w:sz w:val="24"/>
          <w:szCs w:val="24"/>
          <w:lang w:eastAsia="tr-TR"/>
        </w:rPr>
        <w:lastRenderedPageBreak/>
        <w:t xml:space="preserve">üyelerce imzalanır. Ortalamaları her iki sınav için de ayrı ayrı 60 ve üzeri ise aday başarılı kabul edilir. </w:t>
      </w:r>
      <w:r w:rsidRPr="00555286">
        <w:rPr>
          <w:rFonts w:eastAsia="Times New Roman" w:cs="Calibri"/>
          <w:color w:val="000000"/>
          <w:sz w:val="24"/>
          <w:szCs w:val="24"/>
          <w:lang w:eastAsia="tr-TR" w:bidi="tr-TR"/>
        </w:rPr>
        <w:t>Uzmanlık eğitimini bitirme sınavı sonuçları, uzmanlığın tescili için gerekli olan belgelerle birlikte ilgili Anabilim Dalı tarafından uzmanlık eğitimini bitirme sınavını takip eden 3 iş günü içerisinde kurul aracılığı ile Dekanlığa, Dekanlık tarafından da Dekanlığa teslim tarihinden itibaren en geç 15 gün içerisinde Sağlık Bakanlığı Sağlık Hizmetleri Genel Müdürlüğü'ne gönderilir</w:t>
      </w:r>
      <w:r w:rsidRPr="00555286">
        <w:rPr>
          <w:rFonts w:eastAsia="Times New Roman" w:cs="Calibri"/>
          <w:color w:val="000000"/>
          <w:sz w:val="24"/>
          <w:szCs w:val="24"/>
          <w:lang w:eastAsia="tr-TR"/>
        </w:rPr>
        <w:t>.</w:t>
      </w:r>
    </w:p>
    <w:p w:rsidR="00CD21E3" w:rsidRPr="00555286" w:rsidRDefault="00CD21E3" w:rsidP="00CD21E3">
      <w:pPr>
        <w:spacing w:after="0" w:line="480" w:lineRule="auto"/>
        <w:ind w:firstLine="708"/>
        <w:jc w:val="both"/>
        <w:rPr>
          <w:rFonts w:eastAsia="Times New Roman" w:cs="Calibri"/>
          <w:color w:val="000000"/>
          <w:sz w:val="24"/>
          <w:szCs w:val="24"/>
          <w:lang w:eastAsia="tr-TR"/>
        </w:rPr>
      </w:pPr>
      <w:r w:rsidRPr="00555286">
        <w:rPr>
          <w:rFonts w:eastAsia="Times New Roman" w:cs="Calibri"/>
          <w:color w:val="000000"/>
          <w:sz w:val="24"/>
          <w:szCs w:val="24"/>
          <w:lang w:eastAsia="tr-TR"/>
        </w:rPr>
        <w:t>(6) Girdikleri ilk uzmanlık sınavında başarı gösteremeyenler veya sınava girmeyenler 6 ay içerisinde uzmanlık sınavına tekrar alınır. Bu süre içerisinde uzmanlık öğrencilerinin kadrolarıyla ilişikleri kesilmez. Girdikleri ikinci uzmanlık sınavında da başarılı olamayanların veya bu sınava girmeyenlerin, uzmanlık öğrenciliği ile ilişikleri kesilir. Bu suretle uzmanlık öğrenciliği ile ilişiği kesilenlere, takip eden 6 ay içerisinde jüri üyelerini ve yapılacağı kurumu Kurulun belirleyeceği iki sınav için başvuru hakkı verilir. Bu sınavlarda da başarılı olamayanlar veya sınavlara girmeyenlerin bu eğitimlerine bağlı hakları sona erer.</w:t>
      </w:r>
    </w:p>
    <w:p w:rsidR="00CD21E3" w:rsidRPr="00555286" w:rsidRDefault="00CD21E3" w:rsidP="00CD21E3">
      <w:pPr>
        <w:spacing w:after="0" w:line="480" w:lineRule="auto"/>
        <w:ind w:firstLine="708"/>
        <w:jc w:val="both"/>
        <w:rPr>
          <w:rFonts w:eastAsia="Times New Roman" w:cs="Calibri"/>
          <w:color w:val="000000"/>
          <w:sz w:val="24"/>
          <w:szCs w:val="24"/>
          <w:lang w:eastAsia="tr-TR"/>
        </w:rPr>
      </w:pPr>
    </w:p>
    <w:p w:rsidR="00CD21E3" w:rsidRDefault="00CD21E3" w:rsidP="00CD21E3">
      <w:pPr>
        <w:spacing w:after="0" w:line="480" w:lineRule="auto"/>
        <w:ind w:firstLine="708"/>
        <w:jc w:val="both"/>
        <w:rPr>
          <w:rFonts w:eastAsia="Times New Roman" w:cs="Calibri"/>
          <w:b/>
          <w:color w:val="000000"/>
          <w:sz w:val="24"/>
          <w:szCs w:val="24"/>
          <w:lang w:eastAsia="tr-TR"/>
        </w:rPr>
      </w:pPr>
    </w:p>
    <w:p w:rsidR="00CD21E3" w:rsidRPr="00555286" w:rsidRDefault="00CD21E3" w:rsidP="00CD21E3">
      <w:pPr>
        <w:spacing w:after="0" w:line="480" w:lineRule="auto"/>
        <w:ind w:firstLine="708"/>
        <w:jc w:val="both"/>
        <w:rPr>
          <w:rFonts w:eastAsia="Times New Roman" w:cs="Calibri"/>
          <w:b/>
          <w:color w:val="FFFFFF"/>
          <w:sz w:val="24"/>
          <w:szCs w:val="24"/>
          <w:lang w:eastAsia="tr-TR"/>
        </w:rPr>
      </w:pPr>
      <w:r w:rsidRPr="00555286">
        <w:rPr>
          <w:rFonts w:eastAsia="Times New Roman" w:cs="Calibri"/>
          <w:b/>
          <w:color w:val="000000"/>
          <w:sz w:val="24"/>
          <w:szCs w:val="24"/>
          <w:lang w:eastAsia="tr-TR"/>
        </w:rPr>
        <w:t>Uzmanlık Eğitiminin Tamamlanması</w:t>
      </w:r>
    </w:p>
    <w:p w:rsidR="00CD21E3" w:rsidRPr="00555286" w:rsidRDefault="00CD21E3" w:rsidP="00CD21E3">
      <w:p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MADDE 12 - (1) Uzmanlık eğitiminin tamamlanması için;</w:t>
      </w:r>
    </w:p>
    <w:p w:rsidR="00CD21E3" w:rsidRPr="00555286" w:rsidRDefault="00CD21E3" w:rsidP="00CD21E3">
      <w:pPr>
        <w:spacing w:after="0" w:line="480" w:lineRule="auto"/>
        <w:ind w:left="720"/>
        <w:jc w:val="both"/>
        <w:rPr>
          <w:rFonts w:eastAsia="Times New Roman" w:cs="Calibri"/>
          <w:color w:val="000000"/>
          <w:sz w:val="24"/>
          <w:szCs w:val="24"/>
          <w:lang w:eastAsia="tr-TR"/>
        </w:rPr>
      </w:pPr>
      <w:r w:rsidRPr="00555286">
        <w:rPr>
          <w:rFonts w:eastAsia="Times New Roman" w:cs="Calibri"/>
          <w:color w:val="000000"/>
          <w:sz w:val="24"/>
          <w:szCs w:val="24"/>
          <w:lang w:eastAsia="tr-TR"/>
        </w:rPr>
        <w:t>a) Ana dal uzmanlık öğrencileri için tezin kabul edilmiş olması,</w:t>
      </w:r>
    </w:p>
    <w:p w:rsidR="00CD21E3" w:rsidRPr="00555286" w:rsidRDefault="00CD21E3" w:rsidP="00CD21E3">
      <w:p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 xml:space="preserve">              b) Çizelgelerde belirtilen; uzmanlık eğitimi süresini, rotasyonlarını ve en az 2 adet seminer sunumunu (Ek-14) tamamlamış bulunması,</w:t>
      </w:r>
    </w:p>
    <w:p w:rsidR="00CD21E3" w:rsidRPr="00555286" w:rsidRDefault="00CD21E3" w:rsidP="00CD21E3">
      <w:p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 xml:space="preserve">       </w:t>
      </w:r>
      <w:r w:rsidRPr="00555286">
        <w:rPr>
          <w:rFonts w:eastAsia="Times New Roman" w:cs="Calibri"/>
          <w:color w:val="000000"/>
          <w:sz w:val="24"/>
          <w:szCs w:val="24"/>
          <w:lang w:eastAsia="tr-TR"/>
        </w:rPr>
        <w:tab/>
        <w:t>c) Uzmanlık eğitimi karnesinin çekirdek eğitim müfredatını belirleyen kısmının ilgili program yöneticisi tarafından onaylanmış bulunması,</w:t>
      </w:r>
    </w:p>
    <w:p w:rsidR="00CD21E3" w:rsidRPr="00555286" w:rsidRDefault="00CD21E3" w:rsidP="00CD21E3">
      <w:p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ab/>
        <w:t>d) Uzmanlık eğitimini bitirme sınavında başarılı olunması şarttır.</w:t>
      </w:r>
    </w:p>
    <w:p w:rsidR="00CD21E3" w:rsidRPr="00555286" w:rsidRDefault="00CD21E3" w:rsidP="00CD21E3">
      <w:pPr>
        <w:spacing w:after="0" w:line="480" w:lineRule="auto"/>
        <w:ind w:firstLine="708"/>
        <w:jc w:val="both"/>
        <w:rPr>
          <w:rFonts w:eastAsia="Times New Roman" w:cs="Calibri"/>
          <w:color w:val="000000"/>
          <w:sz w:val="24"/>
          <w:szCs w:val="24"/>
          <w:lang w:eastAsia="tr-TR"/>
        </w:rPr>
      </w:pPr>
      <w:r w:rsidRPr="00555286">
        <w:rPr>
          <w:rFonts w:eastAsia="Times New Roman" w:cs="Calibri"/>
          <w:color w:val="000000"/>
          <w:sz w:val="24"/>
          <w:szCs w:val="24"/>
          <w:lang w:eastAsia="tr-TR"/>
        </w:rPr>
        <w:lastRenderedPageBreak/>
        <w:t>(2) Uzmanlık eğitimini tamamlayan öğrenci eğitimini tamamladığı kurumda, ilişiğinin kesildiği tarihe kadar, Dekanlığın ve Anabilim Dalı’nın verdiği görevleri yapmakla yükümlüdür.</w:t>
      </w:r>
    </w:p>
    <w:p w:rsidR="00CD21E3" w:rsidRPr="00555286" w:rsidRDefault="00CD21E3" w:rsidP="00CD21E3">
      <w:p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MADDE 13 - (1) Bu yönergede geçmeyen hükümler için Tıpta ve Diş Hekimliğinde Uzmanlık Eğitimi Yönetmeliği ve ilgili mevzuat hükümleri geçerlidir.</w:t>
      </w:r>
    </w:p>
    <w:p w:rsidR="00CD21E3" w:rsidRPr="00555286" w:rsidRDefault="00CD21E3" w:rsidP="00CD21E3">
      <w:pPr>
        <w:spacing w:after="0" w:line="480" w:lineRule="auto"/>
        <w:jc w:val="both"/>
        <w:rPr>
          <w:rFonts w:eastAsia="Times New Roman" w:cs="Calibri"/>
          <w:b/>
          <w:color w:val="FFFFFF"/>
          <w:sz w:val="24"/>
          <w:szCs w:val="24"/>
          <w:lang w:eastAsia="tr-TR"/>
        </w:rPr>
      </w:pPr>
      <w:r w:rsidRPr="00555286">
        <w:rPr>
          <w:rFonts w:eastAsia="Times New Roman" w:cs="Calibri"/>
          <w:b/>
          <w:color w:val="000000"/>
          <w:sz w:val="24"/>
          <w:szCs w:val="24"/>
          <w:lang w:eastAsia="tr-TR"/>
        </w:rPr>
        <w:t xml:space="preserve">Yürürlük </w:t>
      </w:r>
    </w:p>
    <w:p w:rsidR="00CD21E3" w:rsidRPr="00555286" w:rsidRDefault="00CD21E3" w:rsidP="00CD21E3">
      <w:pPr>
        <w:spacing w:after="0" w:line="480" w:lineRule="auto"/>
        <w:jc w:val="both"/>
        <w:rPr>
          <w:rFonts w:eastAsia="Times New Roman" w:cs="Calibri"/>
          <w:color w:val="FFFFFF"/>
          <w:sz w:val="24"/>
          <w:szCs w:val="24"/>
          <w:lang w:eastAsia="tr-TR"/>
        </w:rPr>
      </w:pPr>
      <w:r w:rsidRPr="00555286">
        <w:rPr>
          <w:rFonts w:eastAsia="Times New Roman" w:cs="Calibri"/>
          <w:color w:val="000000"/>
          <w:sz w:val="24"/>
          <w:szCs w:val="24"/>
          <w:lang w:eastAsia="tr-TR"/>
        </w:rPr>
        <w:t xml:space="preserve">MADDE 14 - (1) Bu yönerge, Fırat Üniversitesi Senatosu’nda kabul edildiği tarihte yürürlüğe girer. </w:t>
      </w:r>
    </w:p>
    <w:p w:rsidR="00CD21E3" w:rsidRPr="00555286" w:rsidRDefault="00CD21E3" w:rsidP="00CD21E3">
      <w:pPr>
        <w:spacing w:after="0" w:line="480" w:lineRule="auto"/>
        <w:jc w:val="both"/>
        <w:rPr>
          <w:rFonts w:eastAsia="Times New Roman" w:cs="Calibri"/>
          <w:b/>
          <w:color w:val="FFFFFF"/>
          <w:sz w:val="24"/>
          <w:szCs w:val="24"/>
          <w:lang w:eastAsia="tr-TR"/>
        </w:rPr>
      </w:pPr>
      <w:r w:rsidRPr="00555286">
        <w:rPr>
          <w:rFonts w:eastAsia="Times New Roman" w:cs="Calibri"/>
          <w:b/>
          <w:color w:val="000000"/>
          <w:sz w:val="24"/>
          <w:szCs w:val="24"/>
          <w:lang w:eastAsia="tr-TR"/>
        </w:rPr>
        <w:t xml:space="preserve">Yürütme </w:t>
      </w:r>
    </w:p>
    <w:p w:rsidR="00CD21E3" w:rsidRPr="00555286" w:rsidRDefault="00CD21E3" w:rsidP="00CD21E3">
      <w:pPr>
        <w:spacing w:after="0" w:line="480" w:lineRule="auto"/>
        <w:jc w:val="both"/>
        <w:rPr>
          <w:rFonts w:eastAsia="Times New Roman" w:cs="Calibri"/>
          <w:color w:val="000000"/>
          <w:sz w:val="24"/>
          <w:szCs w:val="24"/>
          <w:lang w:eastAsia="tr-TR"/>
        </w:rPr>
      </w:pPr>
      <w:r w:rsidRPr="00555286">
        <w:rPr>
          <w:rFonts w:eastAsia="Times New Roman" w:cs="Calibri"/>
          <w:color w:val="000000"/>
          <w:sz w:val="24"/>
          <w:szCs w:val="24"/>
          <w:lang w:eastAsia="tr-TR"/>
        </w:rPr>
        <w:t xml:space="preserve">MADDE 15 - (1) Bu yönerge Fırat Üniversitesi Diş Hekimliği Fakültesi Dekanı tarafından yürütülür. </w:t>
      </w:r>
    </w:p>
    <w:p w:rsidR="00CD21E3" w:rsidRPr="00555286" w:rsidRDefault="00CD21E3" w:rsidP="00CD21E3">
      <w:pPr>
        <w:spacing w:after="0" w:line="480" w:lineRule="auto"/>
        <w:jc w:val="both"/>
        <w:rPr>
          <w:rFonts w:eastAsia="Times New Roman" w:cs="Calibri"/>
          <w:color w:val="000000"/>
          <w:sz w:val="24"/>
          <w:szCs w:val="24"/>
          <w:lang w:eastAsia="tr-TR"/>
        </w:rPr>
      </w:pPr>
    </w:p>
    <w:p w:rsidR="00CD21E3" w:rsidRPr="00555286" w:rsidRDefault="00CD21E3" w:rsidP="00CD21E3">
      <w:pPr>
        <w:spacing w:after="0" w:line="480" w:lineRule="auto"/>
        <w:jc w:val="both"/>
        <w:rPr>
          <w:rFonts w:eastAsia="Times New Roman" w:cs="Calibri"/>
          <w:color w:val="000000"/>
          <w:sz w:val="24"/>
          <w:szCs w:val="24"/>
          <w:lang w:eastAsia="tr-TR"/>
        </w:rPr>
      </w:pPr>
    </w:p>
    <w:p w:rsidR="0087737C" w:rsidRDefault="00CD21E3" w:rsidP="00CD21E3">
      <w:bookmarkStart w:id="0" w:name="_GoBack"/>
      <w:bookmarkEnd w:id="0"/>
    </w:p>
    <w:sectPr w:rsidR="008773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36574"/>
    <w:multiLevelType w:val="hybridMultilevel"/>
    <w:tmpl w:val="2876AF2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1E3"/>
    <w:rsid w:val="0057382E"/>
    <w:rsid w:val="00C3476B"/>
    <w:rsid w:val="00CD21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CF849-37D0-4753-85D3-76DB6D6C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1E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cebrail.barut@gmail.com</dc:creator>
  <cp:keywords/>
  <dc:description/>
  <cp:lastModifiedBy>cebrail.barut@gmail.com</cp:lastModifiedBy>
  <cp:revision>1</cp:revision>
  <dcterms:created xsi:type="dcterms:W3CDTF">2021-10-19T06:03:00Z</dcterms:created>
  <dcterms:modified xsi:type="dcterms:W3CDTF">2021-10-19T06:04:00Z</dcterms:modified>
</cp:coreProperties>
</file>