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E3" w:rsidRPr="00555286" w:rsidRDefault="00CD21E3" w:rsidP="00CD21E3">
      <w:pPr>
        <w:spacing w:after="0" w:line="240" w:lineRule="auto"/>
        <w:jc w:val="center"/>
        <w:rPr>
          <w:rFonts w:eastAsia="Times New Roman" w:cs="Calibri"/>
          <w:b/>
          <w:color w:val="000000"/>
          <w:sz w:val="24"/>
          <w:szCs w:val="24"/>
          <w:lang w:eastAsia="tr-TR"/>
        </w:rPr>
      </w:pPr>
      <w:r w:rsidRPr="00555286">
        <w:rPr>
          <w:rFonts w:eastAsia="Times New Roman" w:cs="Calibri"/>
          <w:b/>
          <w:color w:val="000000"/>
          <w:sz w:val="24"/>
          <w:szCs w:val="24"/>
          <w:lang w:eastAsia="tr-TR"/>
        </w:rPr>
        <w:t>FIRAT ÜNİVERSİTESİ DİŞ HEKİMLİĞİ FAKÜLTESİ</w:t>
      </w:r>
    </w:p>
    <w:p w:rsidR="00CD21E3" w:rsidRPr="00555286" w:rsidRDefault="00CD21E3" w:rsidP="00CD21E3">
      <w:pPr>
        <w:spacing w:after="0" w:line="240" w:lineRule="auto"/>
        <w:jc w:val="center"/>
        <w:rPr>
          <w:rFonts w:eastAsia="Times New Roman" w:cs="Calibri"/>
          <w:b/>
          <w:color w:val="000000"/>
          <w:sz w:val="24"/>
          <w:szCs w:val="24"/>
          <w:lang w:eastAsia="tr-TR"/>
        </w:rPr>
      </w:pPr>
      <w:r w:rsidRPr="00555286">
        <w:rPr>
          <w:rFonts w:eastAsia="Times New Roman" w:cs="Calibri"/>
          <w:b/>
          <w:color w:val="000000"/>
          <w:sz w:val="24"/>
          <w:szCs w:val="24"/>
          <w:lang w:eastAsia="tr-TR"/>
        </w:rPr>
        <w:t>DİŞHEKİMLİĞİ UZMANLIK EĞİTİMİ YÖNERGESİ</w:t>
      </w:r>
    </w:p>
    <w:p w:rsidR="00CD21E3" w:rsidRPr="00555286" w:rsidRDefault="00CD21E3" w:rsidP="00CD21E3">
      <w:pPr>
        <w:spacing w:after="0" w:line="480" w:lineRule="auto"/>
        <w:jc w:val="both"/>
        <w:rPr>
          <w:rFonts w:eastAsia="Times New Roman" w:cs="Calibri"/>
          <w:color w:val="000000"/>
          <w:sz w:val="24"/>
          <w:szCs w:val="24"/>
          <w:lang w:eastAsia="tr-TR"/>
        </w:rPr>
      </w:pPr>
    </w:p>
    <w:p w:rsidR="00CD21E3" w:rsidRPr="00555286" w:rsidRDefault="00CD21E3" w:rsidP="00CD21E3">
      <w:pPr>
        <w:spacing w:after="0" w:line="480" w:lineRule="auto"/>
        <w:ind w:firstLine="708"/>
        <w:jc w:val="both"/>
        <w:rPr>
          <w:rFonts w:eastAsia="Times New Roman" w:cs="Calibri"/>
          <w:b/>
          <w:color w:val="000000"/>
          <w:sz w:val="24"/>
          <w:szCs w:val="24"/>
          <w:lang w:eastAsia="tr-TR"/>
        </w:rPr>
      </w:pPr>
      <w:r w:rsidRPr="00555286">
        <w:rPr>
          <w:rFonts w:eastAsia="Times New Roman" w:cs="Calibri"/>
          <w:b/>
          <w:color w:val="000000"/>
          <w:sz w:val="24"/>
          <w:szCs w:val="24"/>
          <w:lang w:eastAsia="tr-TR"/>
        </w:rPr>
        <w:t xml:space="preserve">BİRİNCİ BÖLÜM </w:t>
      </w:r>
    </w:p>
    <w:p w:rsidR="00CD21E3" w:rsidRPr="00555286" w:rsidRDefault="00CD21E3" w:rsidP="00CD21E3">
      <w:pPr>
        <w:spacing w:after="0" w:line="480" w:lineRule="auto"/>
        <w:jc w:val="both"/>
        <w:rPr>
          <w:rFonts w:eastAsia="Times New Roman" w:cs="Calibri"/>
          <w:b/>
          <w:color w:val="FFFFFF"/>
          <w:sz w:val="24"/>
          <w:szCs w:val="24"/>
          <w:lang w:eastAsia="tr-TR"/>
        </w:rPr>
      </w:pPr>
      <w:r w:rsidRPr="00555286">
        <w:rPr>
          <w:rFonts w:eastAsia="Times New Roman" w:cs="Calibri"/>
          <w:b/>
          <w:color w:val="000000"/>
          <w:sz w:val="24"/>
          <w:szCs w:val="24"/>
          <w:lang w:eastAsia="tr-TR"/>
        </w:rPr>
        <w:t xml:space="preserve">Amaç, Kapsam, Dayanak ve Tanımlar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Amaç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MADDE 1 - (1) Bu yönergenin amacı, Fırat Üniversitesi Diş Hekimliği Fakültesi’nde eğitim alan uzmanlık öğrencilerinin Diş Hekimliği Uzmanlık Eğitimi’nin gerektirdiği faaliyetlerin planlanması, uygulanması, izlenmesi ve geliştirilmesi ile bilimsel araştırma faaliyetlerine katılımlarının düzenlenmesini; uzmanlık eğitimi karnesi, tez yapma ve uzmanlık sınavlarının ilgili mevzuata uygun olarak yapılmasını sağlamaktır.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Kapsam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MADDE 2 - (1) Bu yönerge, Fırat Üniversitesi Diş Hekimliği Fakültesi uzmanlık öğrencilerini ve eğiticilerini kapsar.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Dayanak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MADDE 3 - (1) Bu yönerge, 26 Nisan 2014 tarih ve 28983 sayılı Resmi Gazete’ de yayımlanarak yürürlüğe giren “Tıpta ve Diş Hekimliğinde Uzmanlık Eğitimi Yönetmeliği” hükümleri dikkate alınarak düzenlenmiştir.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Tanımlar </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MADDE 4 - (1) Bu yönergede geçen,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Akademik Kurul: İlgili Anabilim Dalındaki Öğretim Üyelerinden oluşan Kurul’u,</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Çekirdek eğitim müfredatı: Uzmanlık eğitimi yapılabilmesi için bir programın uygulaması gereken asgari eğitim ve öğretimi,</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Çizelgeler: 1219 sayılı Kanunun eki tıpta ve diş hekimliğinde uzmanlık dalları ve eğitim sürelerine dair ek-1,ek-2 ve ek-3 sayılı çizelgeleri,</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lastRenderedPageBreak/>
        <w:t xml:space="preserve">Dekan: Fırat Üniversitesi Diş Hekimliği Fakültesi Dekanı’nı,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Dekanlık: Fırat Üniversitesi Diş Hekimliği Fakültesi Dekanlığı’nı,</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Diş Hekimliği Fakültesi: Fırat Üniversitesi Diş Hekimliği Fakültesi’ni,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Eğitici: Uzmanlık eğitimi verme yetkisine sahip kişileri,</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Eğitim Sorumlusu: İlgili Anabilim Dalı’ndaki Akademik Kurul üyeleri arasından seçilen uzmanlık eğitimi sorumlusunu,</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Kurul: Diş Hekimliği Uzmanlık Eğitimi Komisyonunu,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Öğrenci: Uzmanlık öğrencisini,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Program yöneticisi: Anabilim Dalı Başkanı’nı,</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Rotasyon: Uzmanlık öğrencisinin uzmanlık eğitimi süresi içerisinde, kendi dalı dışında </w:t>
      </w:r>
      <w:r w:rsidRPr="00555286">
        <w:rPr>
          <w:rFonts w:cs="Calibri"/>
          <w:sz w:val="24"/>
          <w:szCs w:val="24"/>
        </w:rPr>
        <w:t>Tıpta Uzmanlık Kurulu</w:t>
      </w:r>
      <w:r w:rsidRPr="00555286">
        <w:rPr>
          <w:rFonts w:eastAsia="Times New Roman" w:cs="Calibri"/>
          <w:color w:val="000000"/>
          <w:sz w:val="24"/>
          <w:szCs w:val="24"/>
          <w:lang w:eastAsia="tr-TR"/>
        </w:rPr>
        <w:t xml:space="preserve"> tarafından belirlenen ve tamamlanması zorunlu olan eğitimi,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UETS: Uzmanlık Eğitimi Takip Sistemini,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Uzmanlık eğitimi: Tıp veya Diş Hekimliği’nde uzman olabilmek için gereken eğitim ve öğretimi, </w:t>
      </w:r>
    </w:p>
    <w:p w:rsidR="00CD21E3" w:rsidRPr="00555286" w:rsidRDefault="00CD21E3" w:rsidP="00CD21E3">
      <w:pPr>
        <w:numPr>
          <w:ilvl w:val="0"/>
          <w:numId w:val="1"/>
        </w:num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Üniversite: Fırat Üniversitesi’ni</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ifade eder.</w:t>
      </w:r>
    </w:p>
    <w:p w:rsidR="00CD21E3" w:rsidRPr="00555286" w:rsidRDefault="00CD21E3" w:rsidP="00CD21E3">
      <w:pPr>
        <w:spacing w:after="0" w:line="480" w:lineRule="auto"/>
        <w:jc w:val="both"/>
        <w:rPr>
          <w:rFonts w:eastAsia="Times New Roman" w:cs="Calibri"/>
          <w:color w:val="000000"/>
          <w:sz w:val="24"/>
          <w:szCs w:val="24"/>
          <w:lang w:eastAsia="tr-TR"/>
        </w:rPr>
      </w:pPr>
    </w:p>
    <w:p w:rsidR="00CD21E3" w:rsidRDefault="00CD21E3" w:rsidP="00CD21E3">
      <w:pPr>
        <w:spacing w:after="0" w:line="480" w:lineRule="auto"/>
        <w:ind w:firstLine="708"/>
        <w:jc w:val="both"/>
        <w:rPr>
          <w:rFonts w:eastAsia="Times New Roman" w:cs="Calibri"/>
          <w:b/>
          <w:bCs/>
          <w:color w:val="000000"/>
          <w:sz w:val="24"/>
          <w:szCs w:val="24"/>
          <w:lang w:eastAsia="tr-TR"/>
        </w:rPr>
      </w:pPr>
    </w:p>
    <w:p w:rsidR="00CD21E3" w:rsidRDefault="00CD21E3" w:rsidP="00CD21E3">
      <w:pPr>
        <w:spacing w:after="0" w:line="480" w:lineRule="auto"/>
        <w:ind w:firstLine="708"/>
        <w:jc w:val="both"/>
        <w:rPr>
          <w:rFonts w:eastAsia="Times New Roman" w:cs="Calibri"/>
          <w:b/>
          <w:bCs/>
          <w:color w:val="000000"/>
          <w:sz w:val="24"/>
          <w:szCs w:val="24"/>
          <w:lang w:eastAsia="tr-TR"/>
        </w:rPr>
      </w:pPr>
    </w:p>
    <w:p w:rsidR="00CD21E3" w:rsidRDefault="00CD21E3" w:rsidP="00CD21E3">
      <w:pPr>
        <w:spacing w:after="0" w:line="480" w:lineRule="auto"/>
        <w:ind w:firstLine="708"/>
        <w:jc w:val="both"/>
        <w:rPr>
          <w:rFonts w:eastAsia="Times New Roman" w:cs="Calibri"/>
          <w:b/>
          <w:bCs/>
          <w:color w:val="000000"/>
          <w:sz w:val="24"/>
          <w:szCs w:val="24"/>
          <w:lang w:eastAsia="tr-TR"/>
        </w:rPr>
      </w:pPr>
    </w:p>
    <w:p w:rsidR="00CD21E3" w:rsidRDefault="00CD21E3" w:rsidP="00CD21E3">
      <w:pPr>
        <w:spacing w:after="0" w:line="480" w:lineRule="auto"/>
        <w:ind w:firstLine="708"/>
        <w:jc w:val="both"/>
        <w:rPr>
          <w:rFonts w:eastAsia="Times New Roman" w:cs="Calibri"/>
          <w:b/>
          <w:bCs/>
          <w:color w:val="000000"/>
          <w:sz w:val="24"/>
          <w:szCs w:val="24"/>
          <w:lang w:eastAsia="tr-TR"/>
        </w:rPr>
      </w:pP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İKİNCİ BÖLÜM </w:t>
      </w:r>
    </w:p>
    <w:p w:rsidR="00CD21E3" w:rsidRPr="00555286" w:rsidRDefault="00CD21E3" w:rsidP="00CD21E3">
      <w:pPr>
        <w:spacing w:after="0" w:line="480" w:lineRule="auto"/>
        <w:jc w:val="both"/>
        <w:rPr>
          <w:rFonts w:eastAsia="Times New Roman" w:cs="Calibri"/>
          <w:b/>
          <w:color w:val="000000"/>
          <w:sz w:val="24"/>
          <w:szCs w:val="24"/>
          <w:lang w:eastAsia="tr-TR"/>
        </w:rPr>
      </w:pPr>
      <w:r w:rsidRPr="00555286">
        <w:rPr>
          <w:rFonts w:eastAsia="Times New Roman" w:cs="Calibri"/>
          <w:b/>
          <w:color w:val="000000"/>
          <w:sz w:val="24"/>
          <w:szCs w:val="24"/>
          <w:lang w:eastAsia="tr-TR"/>
        </w:rPr>
        <w:t xml:space="preserve">Diş Hekimliği Uzmanlık Eğitimi Kurulu’nun Kuruluş ve Görevleri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Kuruluş </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lastRenderedPageBreak/>
        <w:t xml:space="preserve">MADDE 5 - (1) Diş Hekimliği Uzmanlık Eğitiminin amaçlarını ve bunun gerçekleşmesi için yapılacak faaliyetlerin düzenlenmesini sağlamak amacıyla kurul oluşturulur.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Kurul</w:t>
      </w:r>
      <w:r w:rsidRPr="00555286">
        <w:rPr>
          <w:rFonts w:eastAsia="Times New Roman" w:cs="Calibri"/>
          <w:color w:val="000000"/>
          <w:sz w:val="24"/>
          <w:szCs w:val="24"/>
          <w:lang w:eastAsia="tr-TR"/>
        </w:rPr>
        <w:t xml:space="preserve">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MADDE 6 - (1) Kurul aşağıda belirtilen üyelerden oluşur.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a) Dekan,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b) Dekan’ın atayacağı Dekan Yardımcısı ya da Eğitimden sorumlu Dekan Yardımcısı.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c) Anabilim Dalı tarafından 2 yıllığına atanan, her Anabilim Dalından uzmanlık belgesine sahip 1 Profesör veya 1 Doçent veya en az 1 yıllık uzmanlık belgesine sahip 1 Dr. Öğretim Üyesinden oluşur. </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(2) Kurulun Başkanı Dekan, Dekan’ın bulunmadığı durumlarda Dekan Yardımcısı’dır.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(3) Kurul yılda en az iki kez toplanır (Güz ve Bahar dönemi).</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(4) Kurulun sekretarya görevini Fakülte Sekreteri yürütür.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Kurul’un Görevleri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MADDE 7 - (1) Kurulun görevleri şunlardır: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a) Fakültenin Diş Hekimliğinde uzmanlık eğitimi hedeflerini belirlemek,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b) Bu hedeflere ulaşabilmek için Anabilim Dalları’nın teorik ders, uygulama, beceri kursu, araştırma faaliyetleri ile yıllık olarak güncellenen genişletilmiş eğitim müfredatını belirlemek, </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c) Birimlerin (Anabilim Dalları’nın) rehber eğitim sorumlularını listelemek, </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ç) Program yöneticisi tarafından her uzmanlık öğrencisi için doldurulacak ‘’Program Yöneticisi Kanaat Formu (Ek-1)’ nun 6 ayda bir doldurulup (Güz ve Bahar dönemi) </w:t>
      </w:r>
      <w:r w:rsidRPr="00555286">
        <w:rPr>
          <w:rFonts w:cs="Calibri"/>
          <w:sz w:val="24"/>
          <w:szCs w:val="24"/>
        </w:rPr>
        <w:t xml:space="preserve">UETS’ye kaydedilerek </w:t>
      </w:r>
      <w:r w:rsidRPr="00555286">
        <w:rPr>
          <w:rFonts w:eastAsia="Times New Roman" w:cs="Calibri"/>
          <w:color w:val="000000"/>
          <w:sz w:val="24"/>
          <w:szCs w:val="24"/>
          <w:lang w:eastAsia="tr-TR"/>
        </w:rPr>
        <w:t>Dekanlığa iletilmesini sağlamak,</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d) Anabilim Dalları’nın uzmanlık öğrencisi kanaat değerlendirme formu ve uzmanlık eğitim karnesinin şekli, kapsamı, kullanılması ve ilgili diğer hususların neler olacağını belirlemek,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lastRenderedPageBreak/>
        <w:t xml:space="preserve">e) Uzmanlık eğitiminde eğitim hedefleri ve müfredatı ile uzmanlık eğitim karnelerinin oluşturulması ve kullanılması faaliyetlerini izlemek, geliştirmek ve denetlemek,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f) Uzmanlık eğitim karnelerinin doldurulması ve uzmanlık öğrencisinin eksik kalan eğitiminin belirlenmesi için yılda en az 2 kez her Anabilim Dalı Başkanı ya da Kurul üyesi ile değerlendirme toplantısı yapmak,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g) Anabilim Dalları’nın uzmanlık eğitim sorumlularının her 6 ayda bir Dekanlığa bildirdikleri uzmanlık öğrencilerinin mesleki bilgileri, mesleki uygulama, göreve bağlılık, çalışma, araştırma, yönetme yetenekleri ile meslek ahlakı hakkındaki görüş ve kanaatlerini içeren raporları incelemek ve mevzuata göre işlem yapmak,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ğ) Uzmanlık tezlerinin nitelikleri ve yazım kriterleri konusunda kurallar geliştirmek ve uygulanmasını denetlemek,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h) Göreve yeni başlayan uzmanlık öğrencilerine, kuruma adaptasyon için kurumu tanıtıcı bilgiler vermek, kanuni sorumluluklar, mesleki gelişim, iletişim ve deontoloji ile ilgili uyum programları düzenlemek.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ı) Nöbet, çalışma ve eğitim odaları gibi uzmanlık eğitimi alan kişinin eğitsel ve sosyal gereksinimlerini karşılayan alt yapının kurulması için Dekanlığa öneriler sunmak,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i) Uzmanlık öğrencilerinin bilimsel araştırma faaliyetlerine katılmasını teşvik edecek yöntemler geliştirmek,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j) Uzmanlık eğitimi konusunda Fakülte’nin ulusal ve uluslararası akreditasyon işlemlerini planlamak, yapmak ve izlemek, bunun için gerekirse Kurul’a bağlı alt komisyonlar kurmak,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k) Akreditasyon çalışması yapacak Anabilim Dalları’na destek olmak,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l) Uzmanlık eğitimi ile ilgili her konuda Dekanlığa danışmanlık yapmaktır.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 xml:space="preserve">Kurul’un Çalışma Şekli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lastRenderedPageBreak/>
        <w:t xml:space="preserve">MADDE 8 - (1) Kurul, başkan veya vekilinin gündemli çağrısı üzerine salt çoğunlukla toplanır. Kararlar salt çoğunlukta alınır ve karar defterine yazılır. Oyların eşitliği halinde başkanın bulunduğu taraf çoğunluğu sağlamış sayılır.  Alınan kararlar toplantıya katılan tüm üyeler tarafından imzalanır. Karara katılmayan üye karşı oy gerekçesini karar defterine yazmak zorundadır. Kurulların alacağı kararlar tavsiye niteliğindedir. </w:t>
      </w:r>
    </w:p>
    <w:p w:rsidR="00CD21E3" w:rsidRPr="00555286" w:rsidRDefault="00CD21E3" w:rsidP="00CD21E3">
      <w:pPr>
        <w:spacing w:after="0" w:line="480" w:lineRule="auto"/>
        <w:ind w:firstLine="708"/>
        <w:jc w:val="both"/>
        <w:rPr>
          <w:rFonts w:eastAsia="Times New Roman" w:cs="Calibri"/>
          <w:b/>
          <w:color w:val="000000"/>
          <w:sz w:val="24"/>
          <w:szCs w:val="24"/>
          <w:lang w:eastAsia="tr-TR"/>
        </w:rPr>
      </w:pPr>
      <w:r w:rsidRPr="00555286">
        <w:rPr>
          <w:rFonts w:eastAsia="Times New Roman" w:cs="Calibri"/>
          <w:b/>
          <w:color w:val="000000"/>
          <w:sz w:val="24"/>
          <w:szCs w:val="24"/>
          <w:lang w:eastAsia="tr-TR"/>
        </w:rPr>
        <w:t>Uzmanlık Dersleri</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MADDE 9 </w:t>
      </w:r>
      <w:r w:rsidRPr="00555286">
        <w:rPr>
          <w:rFonts w:eastAsia="Times New Roman" w:cs="Calibri"/>
          <w:color w:val="000000"/>
          <w:sz w:val="24"/>
          <w:szCs w:val="24"/>
          <w:lang w:eastAsia="tr-TR"/>
        </w:rPr>
        <w:softHyphen/>
        <w:t xml:space="preserve">- (1) Anabilim Dalları Akademik Kurulları, Tıpta Uzmanlık Kurulu tarafından ilan edilen Çekirdek Eğitim Müfredatı kapsamında oluşturdukları müfredatlarını uzmanlık eğitiminde uygularlar.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Uzmanlık Tezi</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MADDE 10 - (1) Uzmanlık öğrencilerinin, uzmanlık sınavına girebilmeleri için uzmanlık eğitimi gördükleri dala ait bir konu üzerinde tez hazırlamaları zorunludur.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Anabilim Dalı Akademik Kurulu; her öğrenci için öğrencinin bilimsel faaliyetlerini, çalışmak istediği alanı ve danışman tercihini de dikkate alarak, “Tez Danışmanı Öneri Formunu (Ek-2)” doldurarak tez danışmanını Kurul’a bildirir. Tez danışmanı önerisi Kurul kararıyla kesinleşir. Tez danışmanı en geç eğitim süresinin ilk 3 ayı içinde belirlenir. Her Anabilim Dalı’ndaki, her Öğretim Üyesi’nin en az 1 uzmanlık öğrencisi danışmanlığı olmalıdır. Tez çalışmasının niteliğinin birden fazla tez danışmanını gerektirdiği durumlarda ikinci tez danışmanı ‘’İkinci Tez Danışmanı Öneri Formu (Ek-3)’’ doldurularak, birinci tez danışmanının talebi üzerine atanabilir.  Danışman atanmasında, bir danışmana düşecek lisansüstü öğrenci sayısı Anabilim Dalı’nın özelliği dikkate alınarak Akademik Kurul tarafından belirlenir. Tez danışmanı değişikliği Anabilim Dalı Akademik Kurulu kararı ve ‘’Tez Danışmanı Değişiklik Bildirimi Formu (Ek-4)’’ ile Dekanlığa iletilir.  </w:t>
      </w:r>
    </w:p>
    <w:p w:rsidR="00CD21E3" w:rsidRPr="00555286" w:rsidRDefault="00CD21E3" w:rsidP="00CD21E3">
      <w:pPr>
        <w:spacing w:after="0" w:line="480" w:lineRule="auto"/>
        <w:ind w:firstLine="708"/>
        <w:jc w:val="both"/>
        <w:rPr>
          <w:rFonts w:eastAsia="Times New Roman" w:cs="Calibri"/>
          <w:color w:val="000000"/>
          <w:sz w:val="24"/>
          <w:szCs w:val="24"/>
          <w:lang w:eastAsia="tr-TR" w:bidi="tr-TR"/>
        </w:rPr>
      </w:pPr>
      <w:r w:rsidRPr="00555286">
        <w:rPr>
          <w:rFonts w:eastAsia="Times New Roman" w:cs="Calibri"/>
          <w:color w:val="000000"/>
          <w:sz w:val="24"/>
          <w:szCs w:val="24"/>
          <w:lang w:eastAsia="tr-TR"/>
        </w:rPr>
        <w:lastRenderedPageBreak/>
        <w:t>Anabilim Dalı Akademik Kurulları tez danışmanı tarafından belirlenen tez konusunu ilk 1 yıl içerisinde veya en geç uzmanlık eğitimi süresinin ilk yarısı içinde uzmanlık öğrencisine ‘’Tez Konusu Bildirim Formu (Ek-5)’’ ile yazılı olarak bildirilir.</w:t>
      </w:r>
      <w:r w:rsidRPr="00555286">
        <w:rPr>
          <w:rFonts w:eastAsia="Arial" w:cs="Calibri"/>
          <w:color w:val="000000"/>
          <w:sz w:val="24"/>
          <w:szCs w:val="24"/>
          <w:lang w:eastAsia="tr-TR" w:bidi="tr-TR"/>
        </w:rPr>
        <w:t xml:space="preserve"> </w:t>
      </w:r>
      <w:r w:rsidRPr="00555286">
        <w:rPr>
          <w:rFonts w:eastAsia="Times New Roman" w:cs="Calibri"/>
          <w:color w:val="000000"/>
          <w:sz w:val="24"/>
          <w:szCs w:val="24"/>
          <w:lang w:eastAsia="tr-TR" w:bidi="tr-TR"/>
        </w:rPr>
        <w:t>Uzmanlık tezinin konusunun gerektirmesi durumunda, teze başlanmadan önce mutlaka etik kurul oluru alınır ve tezde belirtilir.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Tez izleme komitesi Anabilim Dalı Akademik Kurulları tarafından belirlenir. Tez izleme komitesi üç öğretim üyesinden oluşur. Komitede tez danışmanından başka ilgili Anabilim Dalı içinden ve dışından birer üye yer alır. Üyelerin belirlenmesinde, özellikle disiplinler arası nitelikteki tez çalışmalarında ilgili disiplinin öğretim üyelerinin yer almasına dikkat edilir. Eğer varsa ikinci tez danışmanı da komite toplantılarına dinleyici olarak katılabilir, ancak tez izleme komitesinde yer alamaz. Tez izleme komitesinin kurulmasından sonraki dönemlerde, ilgili Anabilim Dalı Akademik Kurulu’nun önerisi ile üyelerde değişiklik yapılabilir.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Uzmanlık Tezinin Takibi</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MADDE 10 - (2)</w:t>
      </w:r>
      <w:r w:rsidRPr="00555286">
        <w:rPr>
          <w:rFonts w:eastAsia="Times New Roman" w:cs="Calibri"/>
          <w:color w:val="FFFFFF"/>
          <w:sz w:val="24"/>
          <w:szCs w:val="24"/>
          <w:lang w:eastAsia="tr-TR"/>
        </w:rPr>
        <w:t>(</w:t>
      </w:r>
      <w:r w:rsidRPr="00555286">
        <w:rPr>
          <w:rFonts w:eastAsia="Times New Roman" w:cs="Calibri"/>
          <w:color w:val="000000"/>
          <w:sz w:val="24"/>
          <w:szCs w:val="24"/>
          <w:lang w:eastAsia="tr-TR"/>
        </w:rPr>
        <w:t xml:space="preserve">Tez önerisi kabul edilen öğrenci için tez izleme komitesi, Ocak-Haziran ve Temmuz-Aralık ayları arasında birer kere olmak üzere yılda en az 2 kez toplanır. Öğrenci, toplantı tarihinden en az 1 ay önce komite üyelerine yazılı bir rapor sunar. Bu raporda o ana kadar yapılan çalışmaların özeti ve bir sonraki dönemde yapılacak çalışma planı belirtilir. ‘’Tez Gelişme Raporu (Ek-6)’’ ile Anabilim Dalı program yöneticisine bildirilir. </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Öğrencinin tez çalışması aynı zamanda, tez danışmanı tarafından en fazla 3 ayda bir değerlendirilir ve UETS’de ilgili kısma işlenir. </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Uzmanlık Tezinin Sonuçlandırılması</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lastRenderedPageBreak/>
        <w:t>MADDE 10 - (3) Uzmanlık programındaki bir öğrenci, tezini Kurul tarafından belirlenen tez yazım kurallarına (Fırat Üniversitesi Sağlık Bilimleri Enstitüsü Tez Yazım Kuralları) uygun biçimde yazmak ve tezini jüri önünde sözlü olarak savunmak zorundadır.</w:t>
      </w:r>
    </w:p>
    <w:p w:rsidR="00CD21E3" w:rsidRPr="00555286" w:rsidRDefault="00CD21E3" w:rsidP="00CD21E3">
      <w:pPr>
        <w:spacing w:line="360" w:lineRule="auto"/>
        <w:ind w:firstLine="708"/>
        <w:jc w:val="both"/>
        <w:rPr>
          <w:rFonts w:cs="Calibri"/>
          <w:sz w:val="24"/>
          <w:szCs w:val="24"/>
        </w:rPr>
      </w:pPr>
      <w:r w:rsidRPr="00555286">
        <w:rPr>
          <w:rFonts w:cs="Calibri"/>
          <w:sz w:val="24"/>
          <w:szCs w:val="24"/>
        </w:rPr>
        <w:t>Tez en geç uzmanlık eğitimi süresinin bitiminden üç ay öncesinde ve % 25 oranının üzerinde intihal olmadığını kanıtlayan belgenin “İntihal Beyan Formu (Ek-7)” ‘na eklenmesi suretiyle uzmanlık tez jürisine sunulmak üzere program yöneticisine teslim edilir.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Uzmanlık tez jürisi, “Tez Sınavı Jüri Öneri Formu (Ek-8)” ile ilgili Anabilim Dalı Akademik Kurulu’nun önerisi ve Dekanlığın onayı ile atanır. Jüri, asıl üyelerinden en az biri kurum dışından belirlenen ve en az 3 asıl, 2 yedek üyeden oluşur. Anabilim Dalı’nda yeterli sayıda Öğretim Üyesi bulunmaması halinde öğrencinin rotasyon yaptığı dallar veya  Anabilim Dalı Akademik Kurulu’nun uygun göreceği dallardaki öğretim üyelerinden tamamlanır.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Jüri üyeleri, söz konusu tezin kendilerine teslim edildiği tarihten itibaren en geç 30 gün içinde kişisel raporlarını hazırlayarak toplanır ve öğrenciyi tez sınavına alır. Tez sınavı, tez çalışmasının sözlü olarak sunulması ve bunu izleyen soru-cevap bölümünden oluşur. Süresi 60-120 dakikadır. Tez sınavı dinleyicilere açık olarak yapılır.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Tez sınavının tamamlanmasından sonra jüri, dinleyicilere kapalı olarak, tez hakkında salt çoğunlukla yazılı ve gerekçeli olarak kararını verir. Bu karar, Anabilim Dalı Başkanlığı’nca tez sınavını izleyen üç gün içinde “Tez Sınavı Değerlendirme Formu (Ek-9)”, “Tez Sınavı Tutanak Formu (Ek-10)” ‘’Tez Onay Sayfası Formu (Ek-11)’’ ile Kurul’a bildirilir. Jüri tez çalışmasını yeterli bulmazsa eksikliklerin tamamlanması ve gerekli düzeltmelerin yapılması için uzmanlık öğrencisine 6 aylık ek süre verir. Bu sürenin uzmanlık eğitimini aşan kısmı uzmanlık eğitimi süresine eklenir. Tezi hakkında düzeltme kararı verilen öğrenci, en geç altı ay içinde gereğini yaparak tezini mümkünse aynı jüri önünde yeniden savunur. </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lastRenderedPageBreak/>
        <w:t>Tezin ikinci defa kabul edilmemesi halinde, uzmanlık öğrencisinin uzmanlık öğrenciliği ile ilişiği kesilir. İlişiği kesilen uzmanlık öğrencisi 2 yıl içinde uzman adayı olarak aynı kurumda tezini ya da uygun görülen yeni bir tezi tamamlayabilir. Bu süre içinde tezini sunmayan veya tezi kabul edilmeyen uzman adayının uzmanlık eğitimi ile ilişiği kesilir.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t>Tezi kabul edilen uzmanlık öğrencisi, ciltli olarak basılmış en az 4 adet tez nüshasını (1 adet program yöneticisi, 1 adet personel işleri, 1 adet danışman, 1 adet üniversite kütüphanesine teslim edilmek üzere), “Tez Teslim Formu (Ek-12)” ‘nu doldurarak tez danışmanı ve program yöneticisi aracılığı ile Kurum Yöneticisi’ne teslim eder. Tez proje desteği ile yapılmış ise 1 adet ciltli olarak basılmış tez, ilgili proje birimine de teslim edilmelidir.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bidi="tr-TR"/>
        </w:rPr>
        <w:t>Uzmanlık öğrencileri, uzmanlık eğitimi bitirme sınavına girmeden önce tez çalışmasının yayına hazırlanmış taslağını, tez danışmanına teslim etmekle yükümlüdür.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b/>
          <w:bCs/>
          <w:color w:val="000000"/>
          <w:sz w:val="24"/>
          <w:szCs w:val="24"/>
          <w:lang w:eastAsia="tr-TR"/>
        </w:rPr>
        <w:t>Uzmanlık Eğitimini Bitirme Sınavı</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MADDE 11 - (1) Tezi kabul edilen, uzmanlık eğitimi süresini, rotasyonlarını ve en az 2 adet seminer sunumunu tamamlayan, uzmanlık eğitimi karnesinin eğitim müfredatını belirleyen kısmı ilgili program yöneticisi tarafından onaylanan uzmanlık öğrencileri, uzmanlık eğitimi bitirme sınavına girmeye hak kazanır.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Bu öğrencilerin belgeleri tez savunmasını izleyen 15 gün içerisinde; ilgili Anabilim Dalı Akademik Kurulu’nun önerisi ile oluşturulan sınav jürisinin, sınav yerinin ve tarihinin onaylanması için Anabilim Dalı Başkanı tarafından Dekanlığa ve Kurula </w:t>
      </w:r>
      <w:r w:rsidRPr="00555286">
        <w:rPr>
          <w:rFonts w:cs="Calibri"/>
          <w:sz w:val="24"/>
          <w:szCs w:val="24"/>
        </w:rPr>
        <w:t>UETS’ye kaydedilmek suretiyle</w:t>
      </w:r>
      <w:r w:rsidRPr="00555286">
        <w:rPr>
          <w:rFonts w:eastAsia="Times New Roman" w:cs="Calibri"/>
          <w:color w:val="000000"/>
          <w:sz w:val="24"/>
          <w:szCs w:val="24"/>
          <w:lang w:eastAsia="tr-TR"/>
        </w:rPr>
        <w:t xml:space="preserve"> iletilir. Tamamlanması zorunlu rotasyon eğitimleri, süreleri tamamlandığında o rotasyon ile ulaşılması istenilen hedeflere ulaşılıp ulaşılmadığı yönünden rotasyon eğitimini veren eğiticiler tarafından UETS üzerinden değerlendirilir.</w:t>
      </w:r>
      <w:r w:rsidRPr="00555286">
        <w:rPr>
          <w:rFonts w:eastAsia="Times New Roman" w:cs="Calibri"/>
          <w:color w:val="FFFFFF"/>
          <w:sz w:val="24"/>
          <w:szCs w:val="24"/>
          <w:lang w:eastAsia="tr-TR"/>
        </w:rPr>
        <w:t xml:space="preserve"> </w:t>
      </w:r>
      <w:r w:rsidRPr="00555286">
        <w:rPr>
          <w:rFonts w:cs="Calibri"/>
          <w:sz w:val="24"/>
          <w:szCs w:val="24"/>
        </w:rPr>
        <w:t xml:space="preserve">Uzmanlık eğitimini tamamlayanlara kurum tarafından eğitim karnesinin onaylı bir örneği verilir. Karneler UETS içinde uzmanlık eğitimini tamamlayanlara ayrılan arşiv kısmında saklanmaya devam edilir. </w:t>
      </w:r>
      <w:r w:rsidRPr="00555286">
        <w:rPr>
          <w:rFonts w:eastAsia="Times New Roman" w:cs="Calibri"/>
          <w:color w:val="FFFFFF"/>
          <w:sz w:val="24"/>
          <w:szCs w:val="24"/>
          <w:lang w:eastAsia="tr-TR"/>
        </w:rPr>
        <w:t xml:space="preserve"> </w:t>
      </w:r>
      <w:r w:rsidRPr="00555286">
        <w:rPr>
          <w:rFonts w:eastAsia="Times New Roman" w:cs="Calibri"/>
          <w:color w:val="000000"/>
          <w:sz w:val="24"/>
          <w:szCs w:val="24"/>
          <w:lang w:eastAsia="tr-TR"/>
        </w:rPr>
        <w:t xml:space="preserve"> Belgelerini eksiksiz </w:t>
      </w:r>
      <w:r w:rsidRPr="00555286">
        <w:rPr>
          <w:rFonts w:eastAsia="Times New Roman" w:cs="Calibri"/>
          <w:color w:val="000000"/>
          <w:sz w:val="24"/>
          <w:szCs w:val="24"/>
          <w:lang w:eastAsia="tr-TR"/>
        </w:rPr>
        <w:lastRenderedPageBreak/>
        <w:t xml:space="preserve">tamamlayanlar düzenlenen ilk sınava alınır. </w:t>
      </w:r>
      <w:r w:rsidRPr="00555286">
        <w:rPr>
          <w:rFonts w:cs="Calibri"/>
          <w:sz w:val="24"/>
          <w:szCs w:val="24"/>
        </w:rPr>
        <w:t>Uzmanlık eğitimini bitirme sınavları UETS’de ilan edilen yer ve tarihte sınav jürilerince yapılır.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(2) Jüriler, en az üç üyesi sınav yapılan daldan, uzmanlık dalının rotasyon alanlarının veya Akademik Kurul’un uygun gördüğü dalların öğretim üyelerinden olmak üzere 5 kişiden oluşturulur. Jürinin tamamı sınav yapılan daldan oluşturulabilir. Sınav yapılan dalda 3 eğitim sorumlusu bulunmadığı takdirde eksik olan üyeler uzmanlık dalının rotasyon alanlarının ve Akademik Kurulun uygun gördüğü dalların eğitim sorumlularından oluşturulur. Ayrıca 2 kişi yedek üye olarak seçilir. Jüri üyeleri kendi aralarından bir başkan ve kâtip üye seçer.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(3) Uzmanlık eğitimi bitirme sınavı, aşağıda belirtilen biri mesleki bilgi, diğeri uygulama ve beceri sınavı olmak üzere 2 aşamada yapılır: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a) Mesleki bilgi sınavında aday, jüri tarafından seçilen vakanın anamnezini alarak muayenesini yapar, teşhis ve tedavisi hakkında yorumlarını sunar. Jürinin seçtiği konular üzerinde adayın yorumları alınır. Gerektiğinde materyal verilerek uygulamalar izlenir. Mesleki bilgi sınavı tek oturum halinde yapılır. Her üye adaya sorular sormakla yükümlüdür. Sorular içerik açısından adayın uzmanlık dalındaki bilgisini değerlendirmek amacıyla ilgili dalın genel eğitim programı çerçevesinde yöneltilir.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b) Uygulama ve beceri sınavı, uzmanlık dalının özelliğine göre teşhis ve tedavi için gerekli olan müdahaleler ve ameliyatlar, laboratuvar, görüntüleme ve teknik uygulamalar, tedavi ettiği vakaların değerlendirilmesi ve becerileri ölçmeyi amaçlar.</w:t>
      </w:r>
    </w:p>
    <w:p w:rsidR="00CD21E3" w:rsidRPr="00555286" w:rsidRDefault="00CD21E3" w:rsidP="00CD21E3">
      <w:pPr>
        <w:spacing w:after="0" w:line="480" w:lineRule="auto"/>
        <w:ind w:firstLine="708"/>
        <w:jc w:val="both"/>
        <w:rPr>
          <w:rFonts w:eastAsia="Times New Roman" w:cs="Calibri"/>
          <w:color w:val="FFFFFF"/>
          <w:sz w:val="24"/>
          <w:szCs w:val="24"/>
          <w:lang w:eastAsia="tr-TR"/>
        </w:rPr>
      </w:pPr>
      <w:r w:rsidRPr="00555286">
        <w:rPr>
          <w:rFonts w:eastAsia="Times New Roman" w:cs="Calibri"/>
          <w:color w:val="000000"/>
          <w:sz w:val="24"/>
          <w:szCs w:val="24"/>
          <w:lang w:eastAsia="tr-TR"/>
        </w:rPr>
        <w:t>(4) Her bir jüri üyesi mesleki bilgi ile uygulama ve beceri sınavında ayrı ayrı yüz üzerinden puan verir. Sorulan sorular ve alınan cevaplar kâtip üye tarafından kaydedilerek jüri üyeleri tarafından imzalanır ve sınav tutanağına eklenir.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(5) Mesleki bilgi sınavı ile uygulama ve beceri sınavında jüri üyelerinin verdiği puanların ortalamaları alınır ve ‘’Uzmanlık Eğitimi Bitirme Sınavı Tutanağı (Ek-13)’nda belirtilerek </w:t>
      </w:r>
      <w:r w:rsidRPr="00555286">
        <w:rPr>
          <w:rFonts w:eastAsia="Times New Roman" w:cs="Calibri"/>
          <w:color w:val="000000"/>
          <w:sz w:val="24"/>
          <w:szCs w:val="24"/>
          <w:lang w:eastAsia="tr-TR"/>
        </w:rPr>
        <w:lastRenderedPageBreak/>
        <w:t xml:space="preserve">üyelerce imzalanır. Ortalamaları her iki sınav için de ayrı ayrı 60 ve üzeri ise aday başarılı kabul edilir. </w:t>
      </w:r>
      <w:r w:rsidRPr="00555286">
        <w:rPr>
          <w:rFonts w:eastAsia="Times New Roman" w:cs="Calibri"/>
          <w:color w:val="000000"/>
          <w:sz w:val="24"/>
          <w:szCs w:val="24"/>
          <w:lang w:eastAsia="tr-TR" w:bidi="tr-TR"/>
        </w:rPr>
        <w:t>Uzmanlık eğitimini bitirme sınavı sonuçları, uzmanlığın tescili için gerekli olan belgelerle birlikte ilgili Anabilim Dalı tarafından uzmanlık eğitimini bitirme sınavını takip eden 3 iş günü içerisinde kurul aracılığı ile Dekanlığa, Dekanlık tarafından da Dekanlığa teslim tarihinden itibaren en geç 15 gün içerisinde Sağlık Bakanlığı Sağlık Hizmetleri Genel Müdürlüğü'ne gönderilir</w:t>
      </w:r>
      <w:r w:rsidRPr="00555286">
        <w:rPr>
          <w:rFonts w:eastAsia="Times New Roman" w:cs="Calibri"/>
          <w:color w:val="000000"/>
          <w:sz w:val="24"/>
          <w:szCs w:val="24"/>
          <w:lang w:eastAsia="tr-TR"/>
        </w:rPr>
        <w:t>.</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t>(6) Girdikleri ilk uzmanlık sınavında başarı gösteremeyenler veya sınava girmeyenler 6 ay içerisinde uzmanlık sınavına tekrar alınır. Bu süre içerisinde uzmanlık öğrencilerinin kadrolarıyla ilişikleri kesilmez. Girdikleri ikinci uzmanlık sınavında da başarılı olamayanların veya bu sınava girmeyenlerin, uzmanlık öğrenciliği ile ilişikleri kesilir. Bu suretle uzmanlık öğrenciliği ile ilişiği kesilenlere, takip eden 6 ay içerisinde jüri üyelerini ve yapılacağı kurumu Kurulun belirleyeceği iki sınav için başvuru hakkı verilir. Bu sınavlarda da başarılı olamayanlar veya sınavlara girmeyenlerin bu eğitimlerine bağlı hakları sona erer.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p>
    <w:p w:rsidR="00CD21E3" w:rsidRDefault="00CD21E3" w:rsidP="00CD21E3">
      <w:pPr>
        <w:spacing w:after="0" w:line="480" w:lineRule="auto"/>
        <w:ind w:firstLine="708"/>
        <w:jc w:val="both"/>
        <w:rPr>
          <w:rFonts w:eastAsia="Times New Roman" w:cs="Calibri"/>
          <w:b/>
          <w:color w:val="000000"/>
          <w:sz w:val="24"/>
          <w:szCs w:val="24"/>
          <w:lang w:eastAsia="tr-TR"/>
        </w:rPr>
      </w:pPr>
    </w:p>
    <w:p w:rsidR="00CD21E3" w:rsidRPr="00555286" w:rsidRDefault="00CD21E3" w:rsidP="00CD21E3">
      <w:pPr>
        <w:spacing w:after="0" w:line="480" w:lineRule="auto"/>
        <w:ind w:firstLine="708"/>
        <w:jc w:val="both"/>
        <w:rPr>
          <w:rFonts w:eastAsia="Times New Roman" w:cs="Calibri"/>
          <w:b/>
          <w:color w:val="FFFFFF"/>
          <w:sz w:val="24"/>
          <w:szCs w:val="24"/>
          <w:lang w:eastAsia="tr-TR"/>
        </w:rPr>
      </w:pPr>
      <w:r w:rsidRPr="00555286">
        <w:rPr>
          <w:rFonts w:eastAsia="Times New Roman" w:cs="Calibri"/>
          <w:b/>
          <w:color w:val="000000"/>
          <w:sz w:val="24"/>
          <w:szCs w:val="24"/>
          <w:lang w:eastAsia="tr-TR"/>
        </w:rPr>
        <w:t>Uzmanlık Eğitiminin Tamamlanması</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MADDE 12 - (1) Uzmanlık eğitiminin tamamlanması için;</w:t>
      </w:r>
    </w:p>
    <w:p w:rsidR="00CD21E3" w:rsidRPr="00555286" w:rsidRDefault="00CD21E3" w:rsidP="00CD21E3">
      <w:pPr>
        <w:spacing w:after="0" w:line="480" w:lineRule="auto"/>
        <w:ind w:left="720"/>
        <w:jc w:val="both"/>
        <w:rPr>
          <w:rFonts w:eastAsia="Times New Roman" w:cs="Calibri"/>
          <w:color w:val="000000"/>
          <w:sz w:val="24"/>
          <w:szCs w:val="24"/>
          <w:lang w:eastAsia="tr-TR"/>
        </w:rPr>
      </w:pPr>
      <w:r w:rsidRPr="00555286">
        <w:rPr>
          <w:rFonts w:eastAsia="Times New Roman" w:cs="Calibri"/>
          <w:color w:val="000000"/>
          <w:sz w:val="24"/>
          <w:szCs w:val="24"/>
          <w:lang w:eastAsia="tr-TR"/>
        </w:rPr>
        <w:t>a) Ana dal uzmanlık öğrencileri için tezin kabul edilmiş olması,</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              b) Çizelgelerde belirtilen; uzmanlık eğitimi süresini, rotasyonlarını ve en az 2 adet seminer sunumunu (Ek-14) tamamlamış bulunması,</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       </w:t>
      </w:r>
      <w:r w:rsidRPr="00555286">
        <w:rPr>
          <w:rFonts w:eastAsia="Times New Roman" w:cs="Calibri"/>
          <w:color w:val="000000"/>
          <w:sz w:val="24"/>
          <w:szCs w:val="24"/>
          <w:lang w:eastAsia="tr-TR"/>
        </w:rPr>
        <w:tab/>
        <w:t>c) Uzmanlık eğitimi karnesinin çekirdek eğitim müfredatını belirleyen kısmının ilgili program yöneticisi tarafından onaylanmış bulunması,</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ab/>
        <w:t>d) Uzmanlık eğitimini bitirme sınavında başarılı olunması şarttır.</w:t>
      </w:r>
    </w:p>
    <w:p w:rsidR="00CD21E3" w:rsidRPr="00555286" w:rsidRDefault="00CD21E3" w:rsidP="00CD21E3">
      <w:pPr>
        <w:spacing w:after="0" w:line="480" w:lineRule="auto"/>
        <w:ind w:firstLine="708"/>
        <w:jc w:val="both"/>
        <w:rPr>
          <w:rFonts w:eastAsia="Times New Roman" w:cs="Calibri"/>
          <w:color w:val="000000"/>
          <w:sz w:val="24"/>
          <w:szCs w:val="24"/>
          <w:lang w:eastAsia="tr-TR"/>
        </w:rPr>
      </w:pPr>
      <w:r w:rsidRPr="00555286">
        <w:rPr>
          <w:rFonts w:eastAsia="Times New Roman" w:cs="Calibri"/>
          <w:color w:val="000000"/>
          <w:sz w:val="24"/>
          <w:szCs w:val="24"/>
          <w:lang w:eastAsia="tr-TR"/>
        </w:rPr>
        <w:lastRenderedPageBreak/>
        <w:t>(2) Uzmanlık eğitimini tamamlayan öğrenci eğitimini tamamladığı kurumda, ilişiğinin kesildiği tarihe kadar, Dekanlığın ve Anabilim Dalı’nın verdiği görevleri yapmakla yükümlüdür.</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MADDE 13 - (1) Bu yönergede geçmeyen hükümler için Tıpta ve Diş Hekimliğinde Uzmanlık Eğitimi Yönetmeliği ve ilgili mevzuat hükümleri geçerlidir.</w:t>
      </w:r>
    </w:p>
    <w:p w:rsidR="00CD21E3" w:rsidRPr="00555286" w:rsidRDefault="00CD21E3" w:rsidP="00CD21E3">
      <w:pPr>
        <w:spacing w:after="0" w:line="480" w:lineRule="auto"/>
        <w:jc w:val="both"/>
        <w:rPr>
          <w:rFonts w:eastAsia="Times New Roman" w:cs="Calibri"/>
          <w:b/>
          <w:color w:val="FFFFFF"/>
          <w:sz w:val="24"/>
          <w:szCs w:val="24"/>
          <w:lang w:eastAsia="tr-TR"/>
        </w:rPr>
      </w:pPr>
      <w:r w:rsidRPr="00555286">
        <w:rPr>
          <w:rFonts w:eastAsia="Times New Roman" w:cs="Calibri"/>
          <w:b/>
          <w:color w:val="000000"/>
          <w:sz w:val="24"/>
          <w:szCs w:val="24"/>
          <w:lang w:eastAsia="tr-TR"/>
        </w:rPr>
        <w:t xml:space="preserve">Yürürlük </w:t>
      </w:r>
    </w:p>
    <w:p w:rsidR="00CD21E3" w:rsidRPr="00555286" w:rsidRDefault="00CD21E3" w:rsidP="00CD21E3">
      <w:pPr>
        <w:spacing w:after="0" w:line="480" w:lineRule="auto"/>
        <w:jc w:val="both"/>
        <w:rPr>
          <w:rFonts w:eastAsia="Times New Roman" w:cs="Calibri"/>
          <w:color w:val="FFFFFF"/>
          <w:sz w:val="24"/>
          <w:szCs w:val="24"/>
          <w:lang w:eastAsia="tr-TR"/>
        </w:rPr>
      </w:pPr>
      <w:r w:rsidRPr="00555286">
        <w:rPr>
          <w:rFonts w:eastAsia="Times New Roman" w:cs="Calibri"/>
          <w:color w:val="000000"/>
          <w:sz w:val="24"/>
          <w:szCs w:val="24"/>
          <w:lang w:eastAsia="tr-TR"/>
        </w:rPr>
        <w:t xml:space="preserve">MADDE 14 - (1) Bu yönerge, Fırat Üniversitesi Senatosu’nda kabul edildiği tarihte yürürlüğe girer. </w:t>
      </w:r>
    </w:p>
    <w:p w:rsidR="00CD21E3" w:rsidRPr="00555286" w:rsidRDefault="00CD21E3" w:rsidP="00CD21E3">
      <w:pPr>
        <w:spacing w:after="0" w:line="480" w:lineRule="auto"/>
        <w:jc w:val="both"/>
        <w:rPr>
          <w:rFonts w:eastAsia="Times New Roman" w:cs="Calibri"/>
          <w:b/>
          <w:color w:val="FFFFFF"/>
          <w:sz w:val="24"/>
          <w:szCs w:val="24"/>
          <w:lang w:eastAsia="tr-TR"/>
        </w:rPr>
      </w:pPr>
      <w:r w:rsidRPr="00555286">
        <w:rPr>
          <w:rFonts w:eastAsia="Times New Roman" w:cs="Calibri"/>
          <w:b/>
          <w:color w:val="000000"/>
          <w:sz w:val="24"/>
          <w:szCs w:val="24"/>
          <w:lang w:eastAsia="tr-TR"/>
        </w:rPr>
        <w:t xml:space="preserve">Yürütme </w:t>
      </w:r>
    </w:p>
    <w:p w:rsidR="00CD21E3" w:rsidRPr="00555286" w:rsidRDefault="00CD21E3" w:rsidP="00CD21E3">
      <w:pPr>
        <w:spacing w:after="0" w:line="480" w:lineRule="auto"/>
        <w:jc w:val="both"/>
        <w:rPr>
          <w:rFonts w:eastAsia="Times New Roman" w:cs="Calibri"/>
          <w:color w:val="000000"/>
          <w:sz w:val="24"/>
          <w:szCs w:val="24"/>
          <w:lang w:eastAsia="tr-TR"/>
        </w:rPr>
      </w:pPr>
      <w:r w:rsidRPr="00555286">
        <w:rPr>
          <w:rFonts w:eastAsia="Times New Roman" w:cs="Calibri"/>
          <w:color w:val="000000"/>
          <w:sz w:val="24"/>
          <w:szCs w:val="24"/>
          <w:lang w:eastAsia="tr-TR"/>
        </w:rPr>
        <w:t xml:space="preserve">MADDE 15 - (1) Bu yönerge Fırat Üniversitesi Diş Hekimliği Fakültesi Dekanı tarafından yürütülür. </w:t>
      </w:r>
    </w:p>
    <w:p w:rsidR="00CD21E3" w:rsidRPr="00555286" w:rsidRDefault="00CD21E3" w:rsidP="00CD21E3">
      <w:pPr>
        <w:spacing w:after="0" w:line="480" w:lineRule="auto"/>
        <w:jc w:val="both"/>
        <w:rPr>
          <w:rFonts w:eastAsia="Times New Roman" w:cs="Calibri"/>
          <w:color w:val="000000"/>
          <w:sz w:val="24"/>
          <w:szCs w:val="24"/>
          <w:lang w:eastAsia="tr-TR"/>
        </w:rPr>
      </w:pPr>
    </w:p>
    <w:p w:rsidR="00CD21E3" w:rsidRPr="00555286" w:rsidRDefault="00CD21E3" w:rsidP="00CD21E3">
      <w:pPr>
        <w:spacing w:after="0" w:line="480" w:lineRule="auto"/>
        <w:jc w:val="both"/>
        <w:rPr>
          <w:rFonts w:eastAsia="Times New Roman" w:cs="Calibri"/>
          <w:color w:val="000000"/>
          <w:sz w:val="24"/>
          <w:szCs w:val="24"/>
          <w:lang w:eastAsia="tr-TR"/>
        </w:rPr>
      </w:pPr>
    </w:p>
    <w:p w:rsidR="0087737C" w:rsidRDefault="00CD21E3" w:rsidP="00CD21E3">
      <w:bookmarkStart w:id="0" w:name="_GoBack"/>
      <w:bookmarkEnd w:id="0"/>
    </w:p>
    <w:sectPr w:rsidR="0087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574"/>
    <w:multiLevelType w:val="hybridMultilevel"/>
    <w:tmpl w:val="2876AF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E3"/>
    <w:rsid w:val="0057382E"/>
    <w:rsid w:val="00C3476B"/>
    <w:rsid w:val="00CD2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CF849-37D0-4753-85D3-76DB6D6C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cebrail.barut@gmail.com</dc:creator>
  <cp:keywords/>
  <dc:description/>
  <cp:lastModifiedBy>cebrail.barut@gmail.com</cp:lastModifiedBy>
  <cp:revision>1</cp:revision>
  <dcterms:created xsi:type="dcterms:W3CDTF">2021-10-19T06:03:00Z</dcterms:created>
  <dcterms:modified xsi:type="dcterms:W3CDTF">2021-10-19T06:04:00Z</dcterms:modified>
</cp:coreProperties>
</file>